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Рейтинговые вопросы по теме 10</w:t>
        <w:br/>
        <w:t>Оплата труда работников</w:t>
      </w:r>
    </w:p>
    <w:p>
      <w:pPr>
        <w:jc w:val="center"/>
      </w:pPr>
      <w:r>
        <w:rPr>
          <w:b/>
          <w:sz w:val="28"/>
        </w:rPr>
        <w:t>Комплект для текущего и рубежного контроля</w:t>
      </w:r>
    </w:p>
    <w:p>
      <w:r>
        <w:t>Комплект предназначен для письменного или устного рейтингового контроля. Вопросы проверяют знание понятий, способность анализировать практические ситуации и обосновывать решения.</w:t>
      </w:r>
    </w:p>
    <w:p>
      <w:pPr>
        <w:pStyle w:val="Heading1"/>
      </w:pPr>
      <w:r>
        <w:t>Результаты контроля</w:t>
      </w:r>
    </w:p>
    <w:p>
      <w:pPr>
        <w:pStyle w:val="ListBullet"/>
      </w:pPr>
      <w:r>
        <w:t>знание основных понятий и механизмов темы</w:t>
      </w:r>
    </w:p>
    <w:p>
      <w:pPr>
        <w:pStyle w:val="ListBullet"/>
      </w:pPr>
      <w:r>
        <w:t>понимание причинно следственных связей</w:t>
      </w:r>
    </w:p>
    <w:p>
      <w:pPr>
        <w:pStyle w:val="ListBullet"/>
      </w:pPr>
      <w:r>
        <w:t>умение применять теорию к практической ситуации</w:t>
      </w:r>
    </w:p>
    <w:p>
      <w:pPr>
        <w:pStyle w:val="ListBullet"/>
      </w:pPr>
      <w:r>
        <w:t>способность формулировать аргументированный вывод</w:t>
      </w:r>
    </w:p>
    <w:p>
      <w:pPr>
        <w:pStyle w:val="Heading1"/>
      </w:pPr>
      <w:r>
        <w:t>Часть 1 Теоретические вопросы</w:t>
      </w:r>
    </w:p>
    <w:p>
      <w:pPr>
        <w:pStyle w:val="ListNumber"/>
      </w:pPr>
      <w:r>
        <w:t>Раскройте содержание понятия «понятие и функции оплаты труда».</w:t>
      </w:r>
    </w:p>
    <w:p>
      <w:pPr>
        <w:pStyle w:val="ListNumber"/>
      </w:pPr>
      <w:r>
        <w:t>Объясните значение «государственное и договорное регулирование».</w:t>
      </w:r>
    </w:p>
    <w:p>
      <w:pPr>
        <w:pStyle w:val="ListNumber"/>
      </w:pPr>
      <w:r>
        <w:t>Охарактеризуйте основные элементы «структура заработной платы».</w:t>
      </w:r>
    </w:p>
    <w:p>
      <w:pPr>
        <w:pStyle w:val="ListNumber"/>
      </w:pPr>
      <w:r>
        <w:t>Покажите взаимосвязь «постоянная и переменная части».</w:t>
      </w:r>
    </w:p>
    <w:p>
      <w:pPr>
        <w:pStyle w:val="ListNumber"/>
      </w:pPr>
      <w:r>
        <w:t>Назовите цели и принципы «повременная система».</w:t>
      </w:r>
    </w:p>
    <w:p>
      <w:pPr>
        <w:pStyle w:val="ListNumber"/>
      </w:pPr>
      <w:r>
        <w:t>Опишите порядок анализа «сдельная система».</w:t>
      </w:r>
    </w:p>
    <w:p>
      <w:pPr>
        <w:pStyle w:val="ListNumber"/>
      </w:pPr>
      <w:r>
        <w:t>Сравните подходы к «премирование и KPI».</w:t>
      </w:r>
    </w:p>
    <w:p>
      <w:pPr>
        <w:pStyle w:val="ListNumber"/>
      </w:pPr>
      <w:r>
        <w:t>Определите роль участников в «доплаты и надбавки».</w:t>
      </w:r>
    </w:p>
    <w:p>
      <w:pPr>
        <w:pStyle w:val="ListNumber"/>
      </w:pPr>
      <w:r>
        <w:t>Объясните возможные ограничения «удержания из заработной платы».</w:t>
      </w:r>
    </w:p>
    <w:p>
      <w:pPr>
        <w:pStyle w:val="ListNumber"/>
      </w:pPr>
      <w:r>
        <w:t>Сформулируйте критерии оценки «внутренняя и внешняя справедливость оплаты».</w:t>
      </w:r>
    </w:p>
    <w:p>
      <w:pPr>
        <w:pStyle w:val="Heading1"/>
      </w:pPr>
      <w:r>
        <w:t>Часть 2 Аналитические вопросы</w:t>
      </w:r>
    </w:p>
    <w:p>
      <w:pPr>
        <w:pStyle w:val="ListNumber"/>
      </w:pPr>
      <w:r>
        <w:t>Проанализируйте причины и возможные последствия ситуации, связанной с аспектом «оплата за качество».</w:t>
      </w:r>
    </w:p>
    <w:p>
      <w:pPr>
        <w:pStyle w:val="ListNumber"/>
      </w:pPr>
      <w:r>
        <w:t>Предложите показатели, позволяющие оценить аспект «конфликт показателей KPI».</w:t>
      </w:r>
    </w:p>
    <w:p>
      <w:pPr>
        <w:pStyle w:val="ListNumber"/>
      </w:pPr>
      <w:r>
        <w:t>Сопоставьте интересы государства, бизнеса и других участников применительно к аспекту «равная оплата равноценного труда».</w:t>
      </w:r>
    </w:p>
    <w:p>
      <w:pPr>
        <w:pStyle w:val="ListNumber"/>
      </w:pPr>
      <w:r>
        <w:t>Выявите риски и предложите меры управления ими применительно к аспекту «информирование работника».</w:t>
      </w:r>
    </w:p>
    <w:p>
      <w:pPr>
        <w:pStyle w:val="ListNumber"/>
      </w:pPr>
      <w:r>
        <w:t>Обоснуйте управленческое решение применительно к аспекту «пересмотр системы вознаграждения».</w:t>
      </w:r>
    </w:p>
    <w:p>
      <w:pPr>
        <w:pStyle w:val="Heading1"/>
      </w:pPr>
      <w:r>
        <w:t>Часть 3 Ситуационные задания</w:t>
      </w:r>
    </w:p>
    <w:p>
      <w:pPr>
        <w:pStyle w:val="ListNumber"/>
      </w:pPr>
      <w:r>
        <w:t>Составьте алгоритм действий ответственного лица при возникновении проблемы «оплата за качество».</w:t>
      </w:r>
    </w:p>
    <w:p>
      <w:pPr>
        <w:pStyle w:val="ListNumber"/>
      </w:pPr>
      <w:r>
        <w:t>Разработайте краткую таблицу «риск — причина — последствие — мера» для аспекта «конфликт показателей KPI».</w:t>
      </w:r>
    </w:p>
    <w:p>
      <w:pPr>
        <w:pStyle w:val="ListNumber"/>
      </w:pPr>
      <w:r>
        <w:t>Сформулируйте два альтернативных решения по вопросу «равная оплата равноценного труда» и сравните их.</w:t>
      </w:r>
    </w:p>
    <w:p>
      <w:pPr>
        <w:pStyle w:val="ListNumber"/>
      </w:pPr>
      <w:r>
        <w:t>Предложите не менее пяти контрольных показателей по вопросу «информирование работника».</w:t>
      </w:r>
    </w:p>
    <w:p>
      <w:pPr>
        <w:pStyle w:val="ListNumber"/>
      </w:pPr>
      <w:r>
        <w:t>Подготовьте аргументированный вывод по ситуации «пересмотр системы вознаграждения», указав необходимые данные и ограничения.</w:t>
      </w:r>
    </w:p>
    <w:p>
      <w:pPr>
        <w:pStyle w:val="Heading1"/>
      </w:pPr>
      <w:r>
        <w:t>Рекомендуемая организация рейтинга</w:t>
      </w:r>
    </w:p>
    <w:p>
      <w:r>
        <w:t>Преподаватель выбирает 5 заданий: два теоретических, два аналитических и одно ситуационное. Время выполнения — 60 минут. Максимальная оценка — 100 баллов.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83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Элемент ответа</w:t>
            </w:r>
          </w:p>
        </w:tc>
        <w:tc>
          <w:tcPr>
            <w:tcW w:type="dxa" w:w="113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453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Критерии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Теоретический вопрос 1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Точность понятий, полнота и логика</w:t>
            </w:r>
          </w:p>
        </w:tc>
      </w:tr>
      <w:tr>
        <w:tc>
          <w:tcPr>
            <w:tcW w:type="dxa" w:w="2835"/>
            <w:vAlign w:val="center"/>
            <w:shd w:fill="EEF4F8"/>
          </w:tcPr>
          <w:p>
            <w:r>
              <w:rPr>
                <w:sz w:val="18"/>
              </w:rPr>
              <w:t>Теоретический вопрос 2</w:t>
            </w:r>
          </w:p>
        </w:tc>
        <w:tc>
          <w:tcPr>
            <w:tcW w:type="dxa" w:w="1134"/>
            <w:vAlign w:val="center"/>
            <w:shd w:fill="EEF4F8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4535"/>
            <w:vAlign w:val="center"/>
            <w:shd w:fill="EEF4F8"/>
          </w:tcPr>
          <w:p>
            <w:r>
              <w:rPr>
                <w:sz w:val="18"/>
              </w:rPr>
              <w:t>Понимание механизма и терминологии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Аналитический вопрос 1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Причинно следственные связи и аргументы</w:t>
            </w:r>
          </w:p>
        </w:tc>
      </w:tr>
      <w:tr>
        <w:tc>
          <w:tcPr>
            <w:tcW w:type="dxa" w:w="2835"/>
            <w:vAlign w:val="center"/>
            <w:shd w:fill="EEF4F8"/>
          </w:tcPr>
          <w:p>
            <w:r>
              <w:rPr>
                <w:sz w:val="18"/>
              </w:rPr>
              <w:t>Аналитический вопрос 2</w:t>
            </w:r>
          </w:p>
        </w:tc>
        <w:tc>
          <w:tcPr>
            <w:tcW w:type="dxa" w:w="1134"/>
            <w:vAlign w:val="center"/>
            <w:shd w:fill="EEF4F8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4535"/>
            <w:vAlign w:val="center"/>
            <w:shd w:fill="EEF4F8"/>
          </w:tcPr>
          <w:p>
            <w:r>
              <w:rPr>
                <w:sz w:val="18"/>
              </w:rPr>
              <w:t>Данные, альтернативы и риски</w:t>
            </w:r>
          </w:p>
        </w:tc>
      </w:tr>
      <w:tr>
        <w:tc>
          <w:tcPr>
            <w:tcW w:type="dxa" w:w="2835"/>
            <w:vAlign w:val="center"/>
          </w:tcPr>
          <w:p>
            <w:r>
              <w:rPr>
                <w:sz w:val="18"/>
              </w:rPr>
              <w:t>Ситуационное задание</w:t>
            </w:r>
          </w:p>
        </w:tc>
        <w:tc>
          <w:tcPr>
            <w:tcW w:type="dxa" w:w="1134"/>
            <w:vAlign w:val="center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4535"/>
            <w:vAlign w:val="center"/>
          </w:tcPr>
          <w:p>
            <w:r>
              <w:rPr>
                <w:sz w:val="18"/>
              </w:rPr>
              <w:t>Реалистичность решения, показатели и вывод</w:t>
            </w:r>
          </w:p>
        </w:tc>
      </w:tr>
    </w:tbl>
    <w:p/>
    <w:p>
      <w:pPr>
        <w:pStyle w:val="Heading1"/>
      </w:pPr>
      <w:r>
        <w:t>Шкала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268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1417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4819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Характеристика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sz w:val="18"/>
              </w:rPr>
              <w:t>Отличный</w:t>
            </w:r>
          </w:p>
        </w:tc>
        <w:tc>
          <w:tcPr>
            <w:tcW w:type="dxa" w:w="1417"/>
            <w:vAlign w:val="center"/>
          </w:tcPr>
          <w:p>
            <w:r>
              <w:rPr>
                <w:sz w:val="18"/>
              </w:rPr>
              <w:t>90–100</w:t>
            </w:r>
          </w:p>
        </w:tc>
        <w:tc>
          <w:tcPr>
            <w:tcW w:type="dxa" w:w="4819"/>
            <w:vAlign w:val="center"/>
          </w:tcPr>
          <w:p>
            <w:r>
              <w:rPr>
                <w:sz w:val="18"/>
              </w:rPr>
              <w:t>Ответ полный, точный, самостоятельный и аргументированный</w:t>
            </w:r>
          </w:p>
        </w:tc>
      </w:tr>
      <w:tr>
        <w:tc>
          <w:tcPr>
            <w:tcW w:type="dxa" w:w="2268"/>
            <w:vAlign w:val="center"/>
            <w:shd w:fill="EEF4F8"/>
          </w:tcPr>
          <w:p>
            <w:r>
              <w:rPr>
                <w:sz w:val="18"/>
              </w:rPr>
              <w:t>Хороший</w:t>
            </w:r>
          </w:p>
        </w:tc>
        <w:tc>
          <w:tcPr>
            <w:tcW w:type="dxa" w:w="1417"/>
            <w:vAlign w:val="center"/>
            <w:shd w:fill="EEF4F8"/>
          </w:tcPr>
          <w:p>
            <w:r>
              <w:rPr>
                <w:sz w:val="18"/>
              </w:rPr>
              <w:t>75–89</w:t>
            </w:r>
          </w:p>
        </w:tc>
        <w:tc>
          <w:tcPr>
            <w:tcW w:type="dxa" w:w="4819"/>
            <w:vAlign w:val="center"/>
            <w:shd w:fill="EEF4F8"/>
          </w:tcPr>
          <w:p>
            <w:r>
              <w:rPr>
                <w:sz w:val="18"/>
              </w:rPr>
              <w:t>Основное содержание раскрыто, имеются отдельные неточности</w:t>
            </w:r>
          </w:p>
        </w:tc>
      </w:tr>
      <w:tr>
        <w:tc>
          <w:tcPr>
            <w:tcW w:type="dxa" w:w="2268"/>
            <w:vAlign w:val="center"/>
          </w:tcPr>
          <w:p>
            <w:r>
              <w:rPr>
                <w:sz w:val="18"/>
              </w:rPr>
              <w:t>Удовлетворительный</w:t>
            </w:r>
          </w:p>
        </w:tc>
        <w:tc>
          <w:tcPr>
            <w:tcW w:type="dxa" w:w="1417"/>
            <w:vAlign w:val="center"/>
          </w:tcPr>
          <w:p>
            <w:r>
              <w:rPr>
                <w:sz w:val="18"/>
              </w:rPr>
              <w:t>50–74</w:t>
            </w:r>
          </w:p>
        </w:tc>
        <w:tc>
          <w:tcPr>
            <w:tcW w:type="dxa" w:w="4819"/>
            <w:vAlign w:val="center"/>
          </w:tcPr>
          <w:p>
            <w:r>
              <w:rPr>
                <w:sz w:val="18"/>
              </w:rPr>
              <w:t>Показано базовое понимание, анализ ограничен</w:t>
            </w:r>
          </w:p>
        </w:tc>
      </w:tr>
      <w:tr>
        <w:tc>
          <w:tcPr>
            <w:tcW w:type="dxa" w:w="2268"/>
            <w:vAlign w:val="center"/>
            <w:shd w:fill="EEF4F8"/>
          </w:tcPr>
          <w:p>
            <w:r>
              <w:rPr>
                <w:sz w:val="18"/>
              </w:rPr>
              <w:t>Неудовлетворительный</w:t>
            </w:r>
          </w:p>
        </w:tc>
        <w:tc>
          <w:tcPr>
            <w:tcW w:type="dxa" w:w="1417"/>
            <w:vAlign w:val="center"/>
            <w:shd w:fill="EEF4F8"/>
          </w:tcPr>
          <w:p>
            <w:r>
              <w:rPr>
                <w:sz w:val="18"/>
              </w:rPr>
              <w:t>0–49</w:t>
            </w:r>
          </w:p>
        </w:tc>
        <w:tc>
          <w:tcPr>
            <w:tcW w:type="dxa" w:w="4819"/>
            <w:vAlign w:val="center"/>
            <w:shd w:fill="EEF4F8"/>
          </w:tcPr>
          <w:p>
            <w:r>
              <w:rPr>
                <w:sz w:val="18"/>
              </w:rPr>
              <w:t>Понятия не раскрыты, выводы не обоснованы</w:t>
            </w:r>
          </w:p>
        </w:tc>
      </w:tr>
    </w:tbl>
    <w:p/>
    <w:p>
      <w:pPr>
        <w:pStyle w:val="Heading1"/>
      </w:pPr>
      <w:r>
        <w:t>Требования к ответу</w:t>
      </w:r>
    </w:p>
    <w:p>
      <w:pPr>
        <w:pStyle w:val="ListBullet"/>
      </w:pPr>
      <w:r>
        <w:t>использовать терминологию темы корректно</w:t>
      </w:r>
    </w:p>
    <w:p>
      <w:pPr>
        <w:pStyle w:val="ListBullet"/>
      </w:pPr>
      <w:r>
        <w:t>отделять факты от предположений</w:t>
      </w:r>
    </w:p>
    <w:p>
      <w:pPr>
        <w:pStyle w:val="ListBullet"/>
      </w:pPr>
      <w:r>
        <w:t>указывать участников, интересы, риски и последствия</w:t>
      </w:r>
    </w:p>
    <w:p>
      <w:pPr>
        <w:pStyle w:val="ListBullet"/>
      </w:pPr>
      <w:r>
        <w:t>предлагать измеримые показатели контроля</w:t>
      </w:r>
    </w:p>
    <w:p>
      <w:pPr>
        <w:pStyle w:val="ListBullet"/>
      </w:pPr>
      <w:r>
        <w:t>при ссылке на законодательство проверять актуальную редакцию нормативного акта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Тема 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6"/>
      </w:rPr>
      <w:t>Рейтинговый и экзаменационный контроль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