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after="240"/>
        <w:jc w:val="left"/>
      </w:pPr>
      <w:r>
        <w:t>Тема 5  Договоры в предпринимательском праве</w:t>
      </w:r>
    </w:p>
    <w:p>
      <w:pPr>
        <w:spacing w:before="200"/>
      </w:pPr>
      <w:r>
        <w:rPr>
          <w:b/>
        </w:rPr>
        <w:t xml:space="preserve">Примечание об актуальности. </w:t>
      </w:r>
      <w:r>
        <w:t>Перед занятием необходимо проверить действующую редакцию нормативных правовых актов в ИПС «Әділет».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/>
              </w:rPr>
              <w:t>Трудоемкость</w:t>
            </w:r>
          </w:p>
        </w:tc>
        <w:tc>
          <w:tcPr>
            <w:tcW w:type="dxa" w:w="3360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/>
              </w:rPr>
              <w:t>Результат CDIO</w:t>
            </w:r>
          </w:p>
        </w:tc>
        <w:tc>
          <w:tcPr>
            <w:tcW w:type="dxa" w:w="3360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/>
              </w:rPr>
              <w:t>Методы обучения</w:t>
            </w:r>
          </w:p>
        </w:tc>
      </w:tr>
      <w:tr>
        <w:tc>
          <w:tcPr>
            <w:tcW w:type="dxa" w:w="3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 w:val="0"/>
              </w:rPr>
              <w:t>3 акад. ч.</w:t>
            </w:r>
          </w:p>
        </w:tc>
        <w:tc>
          <w:tcPr>
            <w:tcW w:type="dxa" w:w="3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 w:val="0"/>
              </w:rPr>
              <w:t>Компромиссы, оценки и балансы; этика и ответственность; переговоры и разрешение конфликта</w:t>
            </w:r>
          </w:p>
        </w:tc>
        <w:tc>
          <w:tcPr>
            <w:tcW w:type="dxa" w:w="3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 w:val="0"/>
              </w:rPr>
              <w:t>Мини-лекция, визуальная схема, кейс, обсуждение</w:t>
            </w:r>
          </w:p>
        </w:tc>
      </w:tr>
    </w:tbl>
    <w:p>
      <w:pPr>
        <w:pStyle w:val="Heading2"/>
        <w:keepNext/>
      </w:pPr>
      <w:r>
        <w:t>Цели обучения</w:t>
      </w:r>
    </w:p>
    <w:p>
      <w:pPr>
        <w:pStyle w:val="ListBullet"/>
        <w:spacing w:after="40"/>
      </w:pPr>
      <w:r>
        <w:t>объяснять ключевые понятия и различать смежные правовые категории;</w:t>
      </w:r>
    </w:p>
    <w:p>
      <w:pPr>
        <w:pStyle w:val="ListBullet"/>
        <w:spacing w:after="40"/>
      </w:pPr>
      <w:r>
        <w:t>находить применимые нормы в официальных источниках и проверять их актуальность;</w:t>
      </w:r>
    </w:p>
    <w:p>
      <w:pPr>
        <w:pStyle w:val="ListBullet"/>
        <w:spacing w:after="40"/>
      </w:pPr>
      <w:r>
        <w:t>квалифицировать практическую ситуацию и предлагать законное, этичное решение.</w:t>
      </w:r>
    </w:p>
    <w:p>
      <w:pPr>
        <w:pStyle w:val="Heading2"/>
        <w:keepNext/>
      </w:pPr>
      <w:r>
        <w:t>План лекции</w:t>
      </w:r>
    </w:p>
    <w:p>
      <w:pPr>
        <w:pStyle w:val="ListNumber"/>
        <w:spacing w:after="40"/>
      </w:pPr>
      <w:r>
        <w:t>1. Понятие, свобода и классификация договора</w:t>
      </w:r>
    </w:p>
    <w:p>
      <w:pPr>
        <w:pStyle w:val="ListNumber"/>
        <w:spacing w:after="40"/>
      </w:pPr>
      <w:r>
        <w:t>2. Существенные условия и структура</w:t>
      </w:r>
    </w:p>
    <w:p>
      <w:pPr>
        <w:pStyle w:val="ListNumber"/>
        <w:spacing w:after="40"/>
      </w:pPr>
      <w:r>
        <w:t>3. Заключение и преддоговорная стадия</w:t>
      </w:r>
    </w:p>
    <w:p>
      <w:pPr>
        <w:pStyle w:val="ListNumber"/>
        <w:spacing w:after="40"/>
      </w:pPr>
      <w:r>
        <w:t>4. Исполнение, обеспечение и ответственность</w:t>
      </w:r>
    </w:p>
    <w:p>
      <w:pPr>
        <w:pStyle w:val="ListNumber"/>
        <w:spacing w:after="40"/>
      </w:pPr>
      <w:r>
        <w:t>5. Изменение, расторжение и договорные споры</w:t>
      </w:r>
    </w:p>
    <w:p>
      <w:pPr>
        <w:pStyle w:val="Heading2"/>
        <w:keepNext/>
      </w:pPr>
      <w:r>
        <w:t>Содержание лекции</w:t>
      </w:r>
    </w:p>
    <w:p>
      <w:r>
        <w:rPr>
          <w:b/>
        </w:rPr>
        <w:t xml:space="preserve">1. </w:t>
      </w:r>
      <w:r>
        <w:t>Договор — соглашение двух или нескольких лиц об установлении, изменении или прекращении гражданских прав и обязанностей. Свобода договора включает выбор контрагента, вида договора и условий, но ограничивается императивными нормами, публичными интересами, запретом злоупотребления правом и требованиями добросовестности.</w:t>
      </w:r>
    </w:p>
    <w:p>
      <w:r>
        <w:rPr>
          <w:b/>
        </w:rPr>
        <w:t xml:space="preserve">2. </w:t>
      </w:r>
      <w:r>
        <w:t>Для заключенности необходимо согласовать существенные условия в требуемой форме. К ним относятся предмет, условия, названные законом существенными для данного вида, и условия, относительно которых по заявлению стороны должно быть достигнуто соглашение. Цена и срок важны практически, однако их юридический режим зависит от конкретного договора и диспозитивных правил.</w:t>
      </w:r>
    </w:p>
    <w:p>
      <w:r>
        <w:rPr>
          <w:b/>
        </w:rPr>
        <w:t xml:space="preserve">3. </w:t>
      </w:r>
      <w:r>
        <w:t>Структура коммерческого договора обычно включает преамбулу, термины, предмет, цену и расчеты, сроки, порядок сдачи и приемки, качество, права и обязанности, заверения, конфиденциальность, интеллектуальную собственность, ответственность, форс-мажор, изменение и прекращение, порядок разрешения споров, реквизиты и подписи. Приложения должны быть однозначно связаны с основным текстом.</w:t>
      </w:r>
    </w:p>
    <w:p>
      <w:r>
        <w:rPr>
          <w:b/>
        </w:rPr>
        <w:t xml:space="preserve">4. </w:t>
      </w:r>
      <w:r>
        <w:t>Договор заключается посредством оферты и акцепта, а также в результате переговоров, конкурса, аукциона или электронной процедуры. Оферта должна быть достаточно определенной и выражать намерение считать себя связанным при акцепте. Молчание обычно не является акцептом. Электронные сообщения, электронная цифровая подпись и действия по исполнению могут иметь доказательственное значение при соблюдении закона и договорных правил.</w:t>
      </w:r>
    </w:p>
    <w:p>
      <w:r>
        <w:rPr>
          <w:b/>
        </w:rPr>
        <w:t xml:space="preserve">5. </w:t>
      </w:r>
      <w:r>
        <w:t>Исполнение должно быть надлежащим по субъекту, предмету, сроку, месту и способу. Риски уменьшают аванс, гарантия, залог, поручительство, неустойка, удержание, страхование, лимиты ответственности и поэтапная приемка. Условие об обеспечении следует оценивать на исполнимость, стоимость и соразмерность, а не только на строгость.</w:t>
      </w:r>
    </w:p>
    <w:p>
      <w:r>
        <w:rPr>
          <w:b/>
        </w:rPr>
        <w:t xml:space="preserve">6. </w:t>
      </w:r>
      <w:r>
        <w:t>Нарушение влечет предусмотренные законом или договором последствия: возмещение убытков, неустойку, проценты, отказ от договора, расторжение и иные меры. Для взыскания убытков важны нарушение, размер, причинная связь и принятые меры по уменьшению потерь. Форс-мажор не равен любому затруднению: обстоятельство должно соответствовать правовым критериям и быть доказано.</w:t>
      </w:r>
    </w:p>
    <w:p>
      <w:r>
        <w:rPr>
          <w:b/>
        </w:rPr>
        <w:t xml:space="preserve">7. </w:t>
      </w:r>
      <w:r>
        <w:t>Переговоры должны выявить интересы сторон, неприемлемые риски и возможные обмены уступками. Матрица рисков помогает распределить ответственность тому, кто способен контролировать риск с наименьшими издержками. При споре необходимы уведомление, фиксация доказательств, претензионный порядок, переговоры и выбор компетентного суда или арбитража.</w:t>
      </w:r>
    </w:p>
    <w:p>
      <w:pPr>
        <w:pStyle w:val="Heading2"/>
        <w:keepNext/>
      </w:pPr>
      <w:r>
        <w:t>Практический кейс для аудитории</w:t>
      </w:r>
    </w:p>
    <w:p>
      <w:r>
        <w:t>Поставщик обещает доставку оборудования до 1 октября, но проект договора не содержит спецификации, критериев приемки, ответственности за задержку и порядка изменения цены. Покупатель внесет 70% аванса. Предложите сбалансированные условия и переговорную позицию обеих сторон.</w:t>
      </w:r>
    </w:p>
    <w:p>
      <w:pPr>
        <w:pStyle w:val="Heading3"/>
        <w:keepNext/>
      </w:pPr>
      <w:r>
        <w:t>Алгоритм правового анализа</w:t>
      </w:r>
    </w:p>
    <w:p>
      <w:pPr>
        <w:pStyle w:val="ListBullet"/>
        <w:spacing w:after="40"/>
      </w:pPr>
      <w:r>
        <w:t>Зафиксировать юридически значимые факты и недостающие сведения.</w:t>
      </w:r>
    </w:p>
    <w:p>
      <w:pPr>
        <w:pStyle w:val="ListBullet"/>
        <w:spacing w:after="40"/>
      </w:pPr>
      <w:r>
        <w:t>Сформулировать один или несколько правовых вопросов.</w:t>
      </w:r>
    </w:p>
    <w:p>
      <w:pPr>
        <w:pStyle w:val="ListBullet"/>
        <w:spacing w:after="40"/>
      </w:pPr>
      <w:r>
        <w:t>Определить статус участников и применимые источники.</w:t>
      </w:r>
    </w:p>
    <w:p>
      <w:pPr>
        <w:pStyle w:val="ListBullet"/>
        <w:spacing w:after="40"/>
      </w:pPr>
      <w:r>
        <w:t>Проверить состав юридического факта, сроки и доказательства.</w:t>
      </w:r>
    </w:p>
    <w:p>
      <w:pPr>
        <w:pStyle w:val="ListBullet"/>
        <w:spacing w:after="40"/>
      </w:pPr>
      <w:r>
        <w:t>Сравнить варианты действий по законности, стоимости, срокам и рискам.</w:t>
      </w:r>
    </w:p>
    <w:p>
      <w:pPr>
        <w:pStyle w:val="ListBullet"/>
        <w:spacing w:after="40"/>
      </w:pPr>
      <w:r>
        <w:t>Сформулировать вывод и практический следующий шаг.</w:t>
      </w:r>
    </w:p>
    <w:p>
      <w:pPr>
        <w:pStyle w:val="Heading2"/>
        <w:keepNext/>
      </w:pPr>
      <w:r>
        <w:t>Вопросы для самоконтроля</w:t>
      </w:r>
    </w:p>
    <w:p>
      <w:pPr>
        <w:pStyle w:val="ListNumber"/>
        <w:spacing w:after="40"/>
      </w:pPr>
      <w:r>
        <w:t>Какие условия являются существенными?</w:t>
      </w:r>
    </w:p>
    <w:p>
      <w:pPr>
        <w:pStyle w:val="ListNumber"/>
        <w:spacing w:after="40"/>
      </w:pPr>
      <w:r>
        <w:t>Чем оферта отличается от приглашения делать оферты?</w:t>
      </w:r>
    </w:p>
    <w:p>
      <w:pPr>
        <w:pStyle w:val="ListNumber"/>
        <w:spacing w:after="40"/>
      </w:pPr>
      <w:r>
        <w:t>Как выбрать способ обеспечения?</w:t>
      </w:r>
    </w:p>
    <w:p>
      <w:pPr>
        <w:pStyle w:val="ListNumber"/>
        <w:spacing w:after="40"/>
      </w:pPr>
      <w:r>
        <w:t>Какие доказательства нужны при нарушении?</w:t>
      </w:r>
    </w:p>
    <w:p>
      <w:pPr>
        <w:pStyle w:val="ListNumber"/>
        <w:spacing w:after="40"/>
      </w:pPr>
      <w:r>
        <w:t>Когда изменение или расторжение возможно в одностороннем порядке?</w:t>
      </w:r>
    </w:p>
    <w:p>
      <w:pPr>
        <w:pStyle w:val="Heading2"/>
        <w:keepNext/>
      </w:pPr>
      <w:r>
        <w:t>Самостоятельная работа</w:t>
      </w:r>
    </w:p>
    <w:p>
      <w:r>
        <w:rPr>
          <w:b/>
        </w:rPr>
        <w:t xml:space="preserve">Задание. </w:t>
      </w:r>
      <w:r>
        <w:t>Подготовьте проект договора поставки на 5–7 страниц и протокол разногласий минимум по пяти условиям. Сопроводите каждый спорный пункт кратким объяснением распределения риска.</w:t>
      </w:r>
    </w:p>
    <w:p>
      <w:r>
        <w:rPr>
          <w:b/>
        </w:rPr>
        <w:t xml:space="preserve">Форма результата. </w:t>
      </w:r>
      <w:r>
        <w:t>Проект договора, протокол разногласий и матрица рисков.</w:t>
      </w:r>
    </w:p>
    <w:p>
      <w:r>
        <w:rPr>
          <w:b/>
        </w:rPr>
        <w:t xml:space="preserve">Обязательные требования. </w:t>
      </w:r>
      <w:r>
        <w:t>Использовать минимум три официальных источника; указывать полное наименование акта, статью при необходимости, URL и дату обращения; отделять установленные факты от предположений; не включать персональные данные реальных лиц.</w:t>
      </w:r>
    </w:p>
    <w:p>
      <w:pPr>
        <w:pStyle w:val="Heading3"/>
        <w:keepNext/>
      </w:pPr>
      <w:r>
        <w:t>Критерии оценивания</w:t>
      </w:r>
    </w:p>
    <w:p>
      <w:pPr>
        <w:pStyle w:val="ListBullet"/>
        <w:spacing w:after="40"/>
      </w:pPr>
      <w:r>
        <w:t>юридическая определенность — 30%</w:t>
      </w:r>
    </w:p>
    <w:p>
      <w:pPr>
        <w:pStyle w:val="ListBullet"/>
        <w:spacing w:after="40"/>
      </w:pPr>
      <w:r>
        <w:t>баланс интересов — 25%</w:t>
      </w:r>
    </w:p>
    <w:p>
      <w:pPr>
        <w:pStyle w:val="ListBullet"/>
        <w:spacing w:after="40"/>
      </w:pPr>
      <w:r>
        <w:t>управление рисками — 25%</w:t>
      </w:r>
    </w:p>
    <w:p>
      <w:pPr>
        <w:pStyle w:val="ListBullet"/>
        <w:spacing w:after="40"/>
      </w:pPr>
      <w:r>
        <w:t>качество переговорных аргументов — 20%</w:t>
      </w:r>
    </w:p>
    <w:p>
      <w:r>
        <w:rPr>
          <w:b/>
        </w:rPr>
        <w:t xml:space="preserve">Шкала. </w:t>
      </w:r>
      <w:r>
        <w:t>90–100 — решение юридически точное и практически применимое; 75–89 — верная основа при отдельных пробелах; 60–74 — частично выполнены требования и недостаточно обоснован вывод; менее 60 — отсутствует необходимая квалификация или работа с источниками.</w:t>
      </w:r>
    </w:p>
    <w:p>
      <w:pPr>
        <w:pStyle w:val="Heading2"/>
        <w:keepNext/>
      </w:pPr>
      <w:r>
        <w:t>Рекомендуемые источники к теме</w:t>
      </w:r>
    </w:p>
    <w:p>
      <w:pPr>
        <w:pStyle w:val="ListBullet"/>
        <w:spacing w:after="0"/>
      </w:pPr>
      <w:r>
        <w:rPr>
          <w:sz w:val="18"/>
        </w:rPr>
        <w:t>3. Гражданский кодекс Республики Казахстан. Общая часть от 27 декабря 1994 года.</w:t>
      </w:r>
    </w:p>
    <w:p>
      <w:pPr>
        <w:pStyle w:val="ListBullet"/>
        <w:spacing w:after="0"/>
      </w:pPr>
      <w:r>
        <w:rPr>
          <w:sz w:val="18"/>
        </w:rPr>
        <w:t>4. Гражданский кодекс Республики Казахстан. Особенная часть от 1 июля 1999 года.</w:t>
      </w:r>
    </w:p>
    <w:p>
      <w:pPr>
        <w:pStyle w:val="ListBullet"/>
        <w:spacing w:after="0"/>
      </w:pPr>
      <w:r>
        <w:rPr>
          <w:sz w:val="18"/>
        </w:rPr>
        <w:t>12. Гражданский процессуальный кодекс Республики Казахстан от 31 октября 2015 года № 377-V ЗРК.</w:t>
      </w:r>
    </w:p>
    <w:p>
      <w:pPr>
        <w:pStyle w:val="ListBullet"/>
        <w:spacing w:after="0"/>
      </w:pPr>
      <w:r>
        <w:rPr>
          <w:sz w:val="18"/>
        </w:rPr>
        <w:t>15. Верховный Суд Республики Казахстан. Нормативные постановления и Банк судебных актов.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08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595959"/>
        <w:sz w:val="16"/>
      </w:rPr>
      <w:t>Тема 5 Договоры в предпринимательском праве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 5 Договоры в предпринимательском праве</dc:title>
  <dc:subject>Лекция и задание для самостоятельной работы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