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240"/>
        <w:jc w:val="left"/>
      </w:pPr>
      <w:r>
        <w:t>Тема 2  Субъекты предпринимательского права</w:t>
      </w:r>
    </w:p>
    <w:p>
      <w:pPr>
        <w:spacing w:before="200"/>
      </w:pPr>
      <w:r>
        <w:rPr>
          <w:b/>
        </w:rPr>
        <w:t xml:space="preserve">Примечание об актуальности. </w:t>
      </w:r>
      <w:r>
        <w:t>Перед занятием необходимо проверить действующую редакцию нормативных правовых актов в ИПС «Әділет».</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D9EAF7"/>
            <w:vAlign w:val="center"/>
            <w:tcMar>
              <w:top w:w="100" w:type="dxa"/>
              <w:start w:w="120" w:type="dxa"/>
              <w:bottom w:w="100" w:type="dxa"/>
              <w:end w:w="120" w:type="dxa"/>
            </w:tcMar>
          </w:tcPr>
          <w:p>
            <w:r/>
            <w:r>
              <w:rPr>
                <w:b/>
              </w:rPr>
              <w:t>Трудоемкость</w:t>
            </w:r>
          </w:p>
        </w:tc>
        <w:tc>
          <w:tcPr>
            <w:tcW w:type="dxa" w:w="3360"/>
            <w:shd w:fill="D9EAF7"/>
            <w:vAlign w:val="center"/>
            <w:tcMar>
              <w:top w:w="100" w:type="dxa"/>
              <w:start w:w="120" w:type="dxa"/>
              <w:bottom w:w="100" w:type="dxa"/>
              <w:end w:w="120" w:type="dxa"/>
            </w:tcMar>
          </w:tcPr>
          <w:p>
            <w:r/>
            <w:r>
              <w:rPr>
                <w:b/>
              </w:rPr>
              <w:t>Результат CDIO</w:t>
            </w:r>
          </w:p>
        </w:tc>
        <w:tc>
          <w:tcPr>
            <w:tcW w:type="dxa" w:w="3360"/>
            <w:shd w:fill="D9EAF7"/>
            <w:vAlign w:val="center"/>
            <w:tcMar>
              <w:top w:w="100" w:type="dxa"/>
              <w:start w:w="120" w:type="dxa"/>
              <w:bottom w:w="100" w:type="dxa"/>
              <w:end w:w="120" w:type="dxa"/>
            </w:tcMar>
          </w:tcPr>
          <w:p>
            <w:r/>
            <w:r>
              <w:rPr>
                <w:b/>
              </w:rPr>
              <w:t>Методы обучения</w:t>
            </w:r>
          </w:p>
        </w:tc>
      </w:tr>
      <w:tr>
        <w:tc>
          <w:tcPr>
            <w:tcW w:type="dxa" w:w="3360"/>
            <w:vAlign w:val="center"/>
            <w:tcMar>
              <w:top w:w="100" w:type="dxa"/>
              <w:start w:w="120" w:type="dxa"/>
              <w:bottom w:w="100" w:type="dxa"/>
              <w:end w:w="120" w:type="dxa"/>
            </w:tcMar>
          </w:tcPr>
          <w:p>
            <w:r/>
            <w:r>
              <w:rPr>
                <w:b w:val="0"/>
              </w:rPr>
              <w:t>1 акад. ч.</w:t>
            </w:r>
          </w:p>
        </w:tc>
        <w:tc>
          <w:tcPr>
            <w:tcW w:type="dxa" w:w="3360"/>
            <w:vAlign w:val="center"/>
            <w:tcMar>
              <w:top w:w="100" w:type="dxa"/>
              <w:start w:w="120" w:type="dxa"/>
              <w:bottom w:w="100" w:type="dxa"/>
              <w:end w:w="120" w:type="dxa"/>
            </w:tcMar>
          </w:tcPr>
          <w:p>
            <w:r/>
            <w:r>
              <w:rPr>
                <w:b w:val="0"/>
              </w:rPr>
              <w:t>Этика, честность и социальная ответственность</w:t>
            </w:r>
          </w:p>
        </w:tc>
        <w:tc>
          <w:tcPr>
            <w:tcW w:type="dxa" w:w="3360"/>
            <w:vAlign w:val="center"/>
            <w:tcMar>
              <w:top w:w="100" w:type="dxa"/>
              <w:start w:w="120" w:type="dxa"/>
              <w:bottom w:w="100" w:type="dxa"/>
              <w:end w:w="120" w:type="dxa"/>
            </w:tcMar>
          </w:tcPr>
          <w:p>
            <w:r/>
            <w:r>
              <w:rPr>
                <w:b w:val="0"/>
              </w:rPr>
              <w:t>Мини-лекция, визуальная схема, кейс, обсуждение</w:t>
            </w:r>
          </w:p>
        </w:tc>
      </w:tr>
    </w:tbl>
    <w:p>
      <w:pPr>
        <w:pStyle w:val="Heading2"/>
        <w:keepNext/>
      </w:pPr>
      <w:r>
        <w:t>Цели обучения</w:t>
      </w:r>
    </w:p>
    <w:p>
      <w:pPr>
        <w:pStyle w:val="ListBullet"/>
        <w:spacing w:after="40"/>
      </w:pPr>
      <w:r>
        <w:t>объяснять ключевые понятия и различать смежные правовые категории;</w:t>
      </w:r>
    </w:p>
    <w:p>
      <w:pPr>
        <w:pStyle w:val="ListBullet"/>
        <w:spacing w:after="40"/>
      </w:pPr>
      <w:r>
        <w:t>находить применимые нормы в официальных источниках и проверять их актуальность;</w:t>
      </w:r>
    </w:p>
    <w:p>
      <w:pPr>
        <w:pStyle w:val="ListBullet"/>
        <w:spacing w:after="40"/>
      </w:pPr>
      <w:r>
        <w:t>квалифицировать практическую ситуацию и предлагать законное, этичное решение.</w:t>
      </w:r>
    </w:p>
    <w:p>
      <w:pPr>
        <w:pStyle w:val="Heading2"/>
        <w:keepNext/>
      </w:pPr>
      <w:r>
        <w:t>План лекции</w:t>
      </w:r>
    </w:p>
    <w:p>
      <w:pPr>
        <w:pStyle w:val="ListNumber"/>
        <w:spacing w:after="40"/>
      </w:pPr>
      <w:r>
        <w:t>1. Физические лица и индивидуальное предпринимательство</w:t>
      </w:r>
    </w:p>
    <w:p>
      <w:pPr>
        <w:pStyle w:val="ListNumber"/>
        <w:spacing w:after="40"/>
      </w:pPr>
      <w:r>
        <w:t>2. Юридические лица и организационно-правовые формы</w:t>
      </w:r>
    </w:p>
    <w:p>
      <w:pPr>
        <w:pStyle w:val="ListNumber"/>
        <w:spacing w:after="40"/>
      </w:pPr>
      <w:r>
        <w:t>3. Категории субъектов предпринимательства</w:t>
      </w:r>
    </w:p>
    <w:p>
      <w:pPr>
        <w:pStyle w:val="ListNumber"/>
        <w:spacing w:after="40"/>
      </w:pPr>
      <w:r>
        <w:t>4. Правосубъектность и ответственность</w:t>
      </w:r>
    </w:p>
    <w:p>
      <w:pPr>
        <w:pStyle w:val="Heading2"/>
        <w:keepNext/>
      </w:pPr>
      <w:r>
        <w:t>Содержание лекции</w:t>
      </w:r>
    </w:p>
    <w:p>
      <w:r>
        <w:rPr>
          <w:b/>
        </w:rPr>
        <w:t xml:space="preserve">1. </w:t>
      </w:r>
      <w:r>
        <w:t>Субъект предпринимательского права — лицо или организация, обладающие установленными законом правами и обязанностями в сфере бизнеса. К ним относятся физические лица, индивидуальные предприниматели, коммерческие юридические лица, отдельные некоммерческие организации в пределах уставных целей, государственные предприятия, государственные органы и объединения предпринимателей.</w:t>
      </w:r>
    </w:p>
    <w:p>
      <w:r>
        <w:rPr>
          <w:b/>
        </w:rPr>
        <w:t xml:space="preserve">2. </w:t>
      </w:r>
      <w:r>
        <w:t>Физическое лицо осуществляет предпринимательство лично либо совместно. Государственная регистрация индивидуального предпринимателя подтверждает специальный статус, но не создает отдельного юридического лица. Предприниматель отвечает по обязательствам своим имуществом, кроме имущества, на которое взыскание не допускается законом. Для отдельных видов деятельности дополнительно требуются разрешение, уведомление, квалификация или соблюдение специальных условий.</w:t>
      </w:r>
    </w:p>
    <w:p>
      <w:r>
        <w:rPr>
          <w:b/>
        </w:rPr>
        <w:t xml:space="preserve">3. </w:t>
      </w:r>
      <w:r>
        <w:t>Юридическое лицо имеет обособленное имущество, самостоятельный баланс, выступает в обороте от своего имени и несет самостоятельную имущественную ответственность. Наиболее распространенная форма — товарищество с ограниченной ответственностью. Выбор формы влияет на порядок управления, формирование капитала, распределение прибыли, раскрытие информации, ответственность участников и выход из бизнеса.</w:t>
      </w:r>
    </w:p>
    <w:p>
      <w:r>
        <w:rPr>
          <w:b/>
        </w:rPr>
        <w:t xml:space="preserve">4. </w:t>
      </w:r>
      <w:r>
        <w:t>Категории субъектов предпринимательства определяются по установленным законом критериям, включая среднегодовую численность работников и среднегодовой доход. Категория влияет на меры государственной поддержки, статистический учет и отдельные требования контроля. Признаки необходимо проверять в актуальной редакции Предпринимательского кодекса, поскольку числовые пороги могут изменяться.</w:t>
      </w:r>
    </w:p>
    <w:p>
      <w:r>
        <w:rPr>
          <w:b/>
        </w:rPr>
        <w:t xml:space="preserve">5. </w:t>
      </w:r>
      <w:r>
        <w:t>Правоспособность юридического лица возникает после государственной регистрации, а дееспособность реализуют его органы. Руководитель обязан действовать добросовестно, разумно и в интересах организации. Конфликт интересов, фиктивное предпринимательство, смешение личного и корпоративного имущества создают риски ответственности и подрывают доверие контрагентов.</w:t>
      </w:r>
    </w:p>
    <w:p>
      <w:pPr>
        <w:pStyle w:val="Heading2"/>
        <w:keepNext/>
      </w:pPr>
      <w:r>
        <w:t>Практический кейс для аудитории</w:t>
      </w:r>
    </w:p>
    <w:p>
      <w:r>
        <w:t>Три выпускника планируют IT-студию: один вкладывает деньги, второй пишет программы, третий привлекает клиентов. Сравните ИП и ТОО с точки зрения управления, рисков, налогового администрирования и возможности привлечения инвестора.</w:t>
      </w:r>
    </w:p>
    <w:p>
      <w:pPr>
        <w:pStyle w:val="Heading3"/>
        <w:keepNext/>
      </w:pPr>
      <w:r>
        <w:t>Алгоритм правового анализа</w:t>
      </w:r>
    </w:p>
    <w:p>
      <w:pPr>
        <w:pStyle w:val="ListBullet"/>
        <w:spacing w:after="40"/>
      </w:pPr>
      <w:r>
        <w:t>Зафиксировать юридически значимые факты и недостающие сведения.</w:t>
      </w:r>
    </w:p>
    <w:p>
      <w:pPr>
        <w:pStyle w:val="ListBullet"/>
        <w:spacing w:after="40"/>
      </w:pPr>
      <w:r>
        <w:t>Сформулировать один или несколько правовых вопросов.</w:t>
      </w:r>
    </w:p>
    <w:p>
      <w:pPr>
        <w:pStyle w:val="ListBullet"/>
        <w:spacing w:after="40"/>
      </w:pPr>
      <w:r>
        <w:t>Определить статус участников и применимые источники.</w:t>
      </w:r>
    </w:p>
    <w:p>
      <w:pPr>
        <w:pStyle w:val="ListBullet"/>
        <w:spacing w:after="40"/>
      </w:pPr>
      <w:r>
        <w:t>Проверить состав юридического факта, сроки и доказательства.</w:t>
      </w:r>
    </w:p>
    <w:p>
      <w:pPr>
        <w:pStyle w:val="ListBullet"/>
        <w:spacing w:after="40"/>
      </w:pPr>
      <w:r>
        <w:t>Сравнить варианты действий по законности, стоимости, срокам и рискам.</w:t>
      </w:r>
    </w:p>
    <w:p>
      <w:pPr>
        <w:pStyle w:val="ListBullet"/>
        <w:spacing w:after="40"/>
      </w:pPr>
      <w:r>
        <w:t>Сформулировать вывод и практический следующий шаг.</w:t>
      </w:r>
    </w:p>
    <w:p>
      <w:pPr>
        <w:pStyle w:val="Heading2"/>
        <w:keepNext/>
      </w:pPr>
      <w:r>
        <w:t>Вопросы для самоконтроля</w:t>
      </w:r>
    </w:p>
    <w:p>
      <w:pPr>
        <w:pStyle w:val="ListNumber"/>
        <w:spacing w:after="40"/>
      </w:pPr>
      <w:r>
        <w:t>Когда физическому лицу требуется регистрация?</w:t>
      </w:r>
    </w:p>
    <w:p>
      <w:pPr>
        <w:pStyle w:val="ListNumber"/>
        <w:spacing w:after="40"/>
      </w:pPr>
      <w:r>
        <w:t>Чем имущество юридического лица отличается от имущества его участников?</w:t>
      </w:r>
    </w:p>
    <w:p>
      <w:pPr>
        <w:pStyle w:val="ListNumber"/>
        <w:spacing w:after="40"/>
      </w:pPr>
      <w:r>
        <w:t>Как категория субъекта влияет на его положение?</w:t>
      </w:r>
    </w:p>
    <w:p>
      <w:pPr>
        <w:pStyle w:val="ListNumber"/>
        <w:spacing w:after="40"/>
      </w:pPr>
      <w:r>
        <w:t>Что означает добросовестное корпоративное управление?</w:t>
      </w:r>
    </w:p>
    <w:p>
      <w:pPr>
        <w:pStyle w:val="Heading2"/>
        <w:keepNext/>
      </w:pPr>
      <w:r>
        <w:t>Самостоятельная работа</w:t>
      </w:r>
    </w:p>
    <w:p>
      <w:r>
        <w:rPr>
          <w:b/>
        </w:rPr>
        <w:t xml:space="preserve">Задание. </w:t>
      </w:r>
      <w:r>
        <w:t>Подготовьте сравнительную матрицу ИП, ТОО и акционерного общества по 10 критериям и дайте мотивированную рекомендацию для описанного стартапа.</w:t>
      </w:r>
    </w:p>
    <w:p>
      <w:r>
        <w:rPr>
          <w:b/>
        </w:rPr>
        <w:t xml:space="preserve">Форма результата. </w:t>
      </w:r>
      <w:r>
        <w:t>Матрица и аналитическая записка на 500–700 слов.</w:t>
      </w:r>
    </w:p>
    <w:p>
      <w:r>
        <w:rPr>
          <w:b/>
        </w:rPr>
        <w:t xml:space="preserve">Обязательные требования. </w:t>
      </w:r>
      <w:r>
        <w:t>Использовать минимум три официальных источника; указывать полное наименование акта, статью при необходимости, URL и дату обращения; отделять установленные факты от предположений; не включать персональные данные реальных лиц.</w:t>
      </w:r>
    </w:p>
    <w:p>
      <w:pPr>
        <w:pStyle w:val="Heading3"/>
        <w:keepNext/>
      </w:pPr>
      <w:r>
        <w:t>Критерии оценивания</w:t>
      </w:r>
    </w:p>
    <w:p>
      <w:pPr>
        <w:pStyle w:val="ListBullet"/>
        <w:spacing w:after="40"/>
      </w:pPr>
      <w:r>
        <w:t>юридическая точность — 35%</w:t>
      </w:r>
    </w:p>
    <w:p>
      <w:pPr>
        <w:pStyle w:val="ListBullet"/>
        <w:spacing w:after="40"/>
      </w:pPr>
      <w:r>
        <w:t>сопоставимость критериев — 25%</w:t>
      </w:r>
    </w:p>
    <w:p>
      <w:pPr>
        <w:pStyle w:val="ListBullet"/>
        <w:spacing w:after="40"/>
      </w:pPr>
      <w:r>
        <w:t>обоснование выбора — 25%</w:t>
      </w:r>
    </w:p>
    <w:p>
      <w:pPr>
        <w:pStyle w:val="ListBullet"/>
        <w:spacing w:after="40"/>
      </w:pPr>
      <w:r>
        <w:t>учет этических рисков — 15%</w:t>
      </w:r>
    </w:p>
    <w:p>
      <w:r>
        <w:rPr>
          <w:b/>
        </w:rPr>
        <w:t xml:space="preserve">Шкала. </w:t>
      </w:r>
      <w:r>
        <w:t>90–100 — решение юридически точное и практически применимое; 75–89 — верная основа при отдельных пробелах; 60–74 — частично выполнены требования и недостаточно обоснован вывод; менее 60 — отсутствует необходимая квалификация или работа с источниками.</w:t>
      </w:r>
    </w:p>
    <w:p>
      <w:pPr>
        <w:pStyle w:val="Heading2"/>
        <w:keepNext/>
      </w:pPr>
      <w:r>
        <w:t>Рекомендуемые источники к теме</w:t>
      </w:r>
    </w:p>
    <w:p>
      <w:pPr>
        <w:pStyle w:val="ListBullet"/>
        <w:spacing w:after="0"/>
      </w:pPr>
      <w:r>
        <w:rPr>
          <w:sz w:val="18"/>
        </w:rPr>
        <w:t>2. Предпринимательский кодекс Республики Казахстан от 29 октября 2015 года № 375-V ЗРК.</w:t>
      </w:r>
    </w:p>
    <w:p>
      <w:pPr>
        <w:pStyle w:val="ListBullet"/>
        <w:spacing w:after="0"/>
      </w:pPr>
      <w:r>
        <w:rPr>
          <w:sz w:val="18"/>
        </w:rPr>
        <w:t>3. Гражданский кодекс Республики Казахстан. Общая часть от 27 декабря 1994 года.</w:t>
      </w:r>
    </w:p>
    <w:p>
      <w:pPr>
        <w:pStyle w:val="ListBullet"/>
        <w:spacing w:after="0"/>
      </w:pPr>
      <w:r>
        <w:rPr>
          <w:sz w:val="18"/>
        </w:rPr>
        <w:t>6. Закон Республики Казахстан от 22 апреля 1998 года № 220-I О товариществах с ограниченной и дополнительной ответственностью.</w:t>
      </w:r>
    </w:p>
    <w:p>
      <w:pPr>
        <w:pStyle w:val="ListBullet"/>
        <w:spacing w:after="0"/>
      </w:pPr>
      <w:r>
        <w:rPr>
          <w:sz w:val="18"/>
        </w:rPr>
        <w:t>16. ИПС Әділет: https://adilet.zan.kz — официальные тексты и история редакций нормативных правовых актов.</w:t>
      </w:r>
    </w:p>
    <w:sectPr w:rsidR="00FC693F" w:rsidRPr="0006063C" w:rsidSect="00034616">
      <w:headerReference w:type="default" r:id="rId9"/>
      <w:footerReference w:type="default" r:id="rId10"/>
      <w:pgSz w:w="12240" w:h="15840"/>
      <w:pgMar w:top="1008" w:right="1008"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Страница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595959"/>
        <w:sz w:val="16"/>
      </w:rPr>
      <w:t>Тема 2 Субъекты предпринимательского права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2 Субъекты предпринимательского права</dc:title>
  <dc:subject>Лекция и задание для самостоятельной работы</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