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spacing w:after="240"/>
        <w:jc w:val="left"/>
      </w:pPr>
      <w:r>
        <w:t>Тема 6  Правовое регулирование отдельных видов предпринимательской деятельности</w:t>
      </w:r>
    </w:p>
    <w:p>
      <w:pPr>
        <w:spacing w:before="200"/>
      </w:pPr>
      <w:r>
        <w:rPr>
          <w:b/>
        </w:rPr>
        <w:t xml:space="preserve">Примечание об актуальности. </w:t>
      </w:r>
      <w:r>
        <w:t>Перед занятием необходимо проверить действующую редакцию нормативных правовых актов в ИПС «Әділет».</w:t>
      </w:r>
    </w:p>
    <w:tbl>
      <w:tblPr>
        <w:tblStyle w:val="TableGrid"/>
        <w:tblW w:type="auto" w:w="0"/>
        <w:jc w:val="center"/>
        <w:tblLook w:firstColumn="1" w:firstRow="1" w:lastColumn="0" w:lastRow="0" w:noHBand="0" w:noVBand="1" w:val="04A0"/>
      </w:tblPr>
      <w:tblGrid>
        <w:gridCol w:w="3360"/>
        <w:gridCol w:w="3360"/>
        <w:gridCol w:w="3360"/>
      </w:tblGrid>
      <w:tr>
        <w:tc>
          <w:tcPr>
            <w:tcW w:type="dxa" w:w="3360"/>
            <w:shd w:fill="D9EAF7"/>
            <w:vAlign w:val="center"/>
            <w:tcMar>
              <w:top w:w="100" w:type="dxa"/>
              <w:start w:w="120" w:type="dxa"/>
              <w:bottom w:w="100" w:type="dxa"/>
              <w:end w:w="120" w:type="dxa"/>
            </w:tcMar>
          </w:tcPr>
          <w:p>
            <w:r/>
            <w:r>
              <w:rPr>
                <w:b/>
              </w:rPr>
              <w:t>Трудоемкость</w:t>
            </w:r>
          </w:p>
        </w:tc>
        <w:tc>
          <w:tcPr>
            <w:tcW w:type="dxa" w:w="3360"/>
            <w:shd w:fill="D9EAF7"/>
            <w:vAlign w:val="center"/>
            <w:tcMar>
              <w:top w:w="100" w:type="dxa"/>
              <w:start w:w="120" w:type="dxa"/>
              <w:bottom w:w="100" w:type="dxa"/>
              <w:end w:w="120" w:type="dxa"/>
            </w:tcMar>
          </w:tcPr>
          <w:p>
            <w:r/>
            <w:r>
              <w:rPr>
                <w:b/>
              </w:rPr>
              <w:t>Результат CDIO</w:t>
            </w:r>
          </w:p>
        </w:tc>
        <w:tc>
          <w:tcPr>
            <w:tcW w:type="dxa" w:w="3360"/>
            <w:shd w:fill="D9EAF7"/>
            <w:vAlign w:val="center"/>
            <w:tcMar>
              <w:top w:w="100" w:type="dxa"/>
              <w:start w:w="120" w:type="dxa"/>
              <w:bottom w:w="100" w:type="dxa"/>
              <w:end w:w="120" w:type="dxa"/>
            </w:tcMar>
          </w:tcPr>
          <w:p>
            <w:r/>
            <w:r>
              <w:rPr>
                <w:b/>
              </w:rPr>
              <w:t>Методы обучения</w:t>
            </w:r>
          </w:p>
        </w:tc>
      </w:tr>
      <w:tr>
        <w:tc>
          <w:tcPr>
            <w:tcW w:type="dxa" w:w="3360"/>
            <w:vAlign w:val="center"/>
            <w:tcMar>
              <w:top w:w="100" w:type="dxa"/>
              <w:start w:w="120" w:type="dxa"/>
              <w:bottom w:w="100" w:type="dxa"/>
              <w:end w:w="120" w:type="dxa"/>
            </w:tcMar>
          </w:tcPr>
          <w:p>
            <w:r/>
            <w:r>
              <w:rPr>
                <w:b w:val="0"/>
              </w:rPr>
              <w:t>2 акад. ч.</w:t>
            </w:r>
          </w:p>
        </w:tc>
        <w:tc>
          <w:tcPr>
            <w:tcW w:type="dxa" w:w="3360"/>
            <w:vAlign w:val="center"/>
            <w:tcMar>
              <w:top w:w="100" w:type="dxa"/>
              <w:start w:w="120" w:type="dxa"/>
              <w:bottom w:w="100" w:type="dxa"/>
              <w:end w:w="120" w:type="dxa"/>
            </w:tcMar>
          </w:tcPr>
          <w:p>
            <w:r/>
            <w:r>
              <w:rPr>
                <w:b w:val="0"/>
              </w:rPr>
              <w:t>Этика, честность и социальная ответственность</w:t>
            </w:r>
          </w:p>
        </w:tc>
        <w:tc>
          <w:tcPr>
            <w:tcW w:type="dxa" w:w="3360"/>
            <w:vAlign w:val="center"/>
            <w:tcMar>
              <w:top w:w="100" w:type="dxa"/>
              <w:start w:w="120" w:type="dxa"/>
              <w:bottom w:w="100" w:type="dxa"/>
              <w:end w:w="120" w:type="dxa"/>
            </w:tcMar>
          </w:tcPr>
          <w:p>
            <w:r/>
            <w:r>
              <w:rPr>
                <w:b w:val="0"/>
              </w:rPr>
              <w:t>Мини-лекция, визуальная схема, кейс, обсуждение</w:t>
            </w:r>
          </w:p>
        </w:tc>
      </w:tr>
    </w:tbl>
    <w:p>
      <w:pPr>
        <w:pStyle w:val="Heading2"/>
        <w:keepNext/>
      </w:pPr>
      <w:r>
        <w:t>Цели обучения</w:t>
      </w:r>
    </w:p>
    <w:p>
      <w:pPr>
        <w:pStyle w:val="ListBullet"/>
        <w:spacing w:after="40"/>
      </w:pPr>
      <w:r>
        <w:t>объяснять ключевые понятия и различать смежные правовые категории;</w:t>
      </w:r>
    </w:p>
    <w:p>
      <w:pPr>
        <w:pStyle w:val="ListBullet"/>
        <w:spacing w:after="40"/>
      </w:pPr>
      <w:r>
        <w:t>находить применимые нормы в официальных источниках и проверять их актуальность;</w:t>
      </w:r>
    </w:p>
    <w:p>
      <w:pPr>
        <w:pStyle w:val="ListBullet"/>
        <w:spacing w:after="40"/>
      </w:pPr>
      <w:r>
        <w:t>квалифицировать практическую ситуацию и предлагать законное, этичное решение.</w:t>
      </w:r>
    </w:p>
    <w:p>
      <w:pPr>
        <w:pStyle w:val="Heading2"/>
        <w:keepNext/>
      </w:pPr>
      <w:r>
        <w:t>План лекции</w:t>
      </w:r>
    </w:p>
    <w:p>
      <w:pPr>
        <w:pStyle w:val="ListNumber"/>
        <w:spacing w:after="40"/>
      </w:pPr>
      <w:r>
        <w:t>1. Общий и специальный правовые режимы</w:t>
      </w:r>
    </w:p>
    <w:p>
      <w:pPr>
        <w:pStyle w:val="ListNumber"/>
        <w:spacing w:after="40"/>
      </w:pPr>
      <w:r>
        <w:t>2. Разрешительный и уведомительный порядок</w:t>
      </w:r>
    </w:p>
    <w:p>
      <w:pPr>
        <w:pStyle w:val="ListNumber"/>
        <w:spacing w:after="40"/>
      </w:pPr>
      <w:r>
        <w:t>3. Отраслевые требования</w:t>
      </w:r>
    </w:p>
    <w:p>
      <w:pPr>
        <w:pStyle w:val="ListNumber"/>
        <w:spacing w:after="40"/>
      </w:pPr>
      <w:r>
        <w:t>4. Защита потребителей, конкуренция и данные</w:t>
      </w:r>
    </w:p>
    <w:p>
      <w:pPr>
        <w:pStyle w:val="Heading2"/>
        <w:keepNext/>
      </w:pPr>
      <w:r>
        <w:t>Содержание лекции</w:t>
      </w:r>
    </w:p>
    <w:p>
      <w:r>
        <w:rPr>
          <w:b/>
        </w:rPr>
        <w:t xml:space="preserve">1. </w:t>
      </w:r>
      <w:r>
        <w:t>Предприниматель может заниматься любыми не запрещенными законом видами деятельности, но правовой режим зависит от рисков для общества. Общий режим дополняется специальным регулированием финансов, строительства, транспорта, связи, недропользования, медицины, образования, торговли, цифровых услуг и других сфер.</w:t>
      </w:r>
    </w:p>
    <w:p>
      <w:r>
        <w:rPr>
          <w:b/>
        </w:rPr>
        <w:t xml:space="preserve">2. </w:t>
      </w:r>
      <w:r>
        <w:t>Разрешительная система включает лицензии, разрешения и уведомления. Перед запуском проекта необходимо определить код и фактическое содержание деятельности, проверить перечни разрешений, квалификационные требования, территориальные и технические условия. Передача лицензии другому лицу или работа за пределами разрешенного вида может повлечь недействительность операций и ответственность.</w:t>
      </w:r>
    </w:p>
    <w:p>
      <w:r>
        <w:rPr>
          <w:b/>
        </w:rPr>
        <w:t xml:space="preserve">3. </w:t>
      </w:r>
      <w:r>
        <w:t>Отраслевые требования охватывают безопасность, санитарные и экологические нормы, техническое регулирование, маркировку, трудовые отношения, рекламу, ценообразование, кассовую дисциплину, защиту потребителей и отчетность. Регуляторная карта должна показывать не только первоначальный допуск, но и постоянные обязанности после запуска.</w:t>
      </w:r>
    </w:p>
    <w:p>
      <w:r>
        <w:rPr>
          <w:b/>
        </w:rPr>
        <w:t xml:space="preserve">4. </w:t>
      </w:r>
      <w:r>
        <w:t>Цифровая предпринимательская деятельность требует определить правила электронной торговли, обработки персональных данных, пользовательского соглашения, возврата товара, доказательства согласия и информационной безопасности. Онлайн-формат не устраняет территориальную применимость закона и права потребителя.</w:t>
      </w:r>
    </w:p>
    <w:p>
      <w:r>
        <w:rPr>
          <w:b/>
        </w:rPr>
        <w:t xml:space="preserve">5. </w:t>
      </w:r>
      <w:r>
        <w:t>Добросовестная конкуренция запрещает недобросовестные практики и злоупотребление рыночной властью. Комплаенс должен охватывать взаимодействие с конкурентами, рекламу, обмен коммерческой информацией, работу с государственными закупками и конфликт интересов.</w:t>
      </w:r>
    </w:p>
    <w:p>
      <w:pPr>
        <w:pStyle w:val="Heading2"/>
        <w:keepNext/>
      </w:pPr>
      <w:r>
        <w:t>Практический кейс для аудитории</w:t>
      </w:r>
    </w:p>
    <w:p>
      <w:r>
        <w:t>Компания запускает мобильное приложение для доставки лекарств, принимает оплату онлайн и собирает сведения о здоровье пользователей. Постройте карту разрешительных, потребительских, договорных и информационных рисков.</w:t>
      </w:r>
    </w:p>
    <w:p>
      <w:pPr>
        <w:pStyle w:val="Heading3"/>
        <w:keepNext/>
      </w:pPr>
      <w:r>
        <w:t>Алгоритм правового анализа</w:t>
      </w:r>
    </w:p>
    <w:p>
      <w:pPr>
        <w:pStyle w:val="ListBullet"/>
        <w:spacing w:after="40"/>
      </w:pPr>
      <w:r>
        <w:t>Зафиксировать юридически значимые факты и недостающие сведения.</w:t>
      </w:r>
    </w:p>
    <w:p>
      <w:pPr>
        <w:pStyle w:val="ListBullet"/>
        <w:spacing w:after="40"/>
      </w:pPr>
      <w:r>
        <w:t>Сформулировать один или несколько правовых вопросов.</w:t>
      </w:r>
    </w:p>
    <w:p>
      <w:pPr>
        <w:pStyle w:val="ListBullet"/>
        <w:spacing w:after="40"/>
      </w:pPr>
      <w:r>
        <w:t>Определить статус участников и применимые источники.</w:t>
      </w:r>
    </w:p>
    <w:p>
      <w:pPr>
        <w:pStyle w:val="ListBullet"/>
        <w:spacing w:after="40"/>
      </w:pPr>
      <w:r>
        <w:t>Проверить состав юридического факта, сроки и доказательства.</w:t>
      </w:r>
    </w:p>
    <w:p>
      <w:pPr>
        <w:pStyle w:val="ListBullet"/>
        <w:spacing w:after="40"/>
      </w:pPr>
      <w:r>
        <w:t>Сравнить варианты действий по законности, стоимости, срокам и рискам.</w:t>
      </w:r>
    </w:p>
    <w:p>
      <w:pPr>
        <w:pStyle w:val="ListBullet"/>
        <w:spacing w:after="40"/>
      </w:pPr>
      <w:r>
        <w:t>Сформулировать вывод и практический следующий шаг.</w:t>
      </w:r>
    </w:p>
    <w:p>
      <w:pPr>
        <w:pStyle w:val="Heading2"/>
        <w:keepNext/>
      </w:pPr>
      <w:r>
        <w:t>Вопросы для самоконтроля</w:t>
      </w:r>
    </w:p>
    <w:p>
      <w:pPr>
        <w:pStyle w:val="ListNumber"/>
        <w:spacing w:after="40"/>
      </w:pPr>
      <w:r>
        <w:t>Как определить применимый специальный режим?</w:t>
      </w:r>
    </w:p>
    <w:p>
      <w:pPr>
        <w:pStyle w:val="ListNumber"/>
        <w:spacing w:after="40"/>
      </w:pPr>
      <w:r>
        <w:t>Чем уведомление отличается от разрешения?</w:t>
      </w:r>
    </w:p>
    <w:p>
      <w:pPr>
        <w:pStyle w:val="ListNumber"/>
        <w:spacing w:after="40"/>
      </w:pPr>
      <w:r>
        <w:t>Какие обязанности сохраняются после получения лицензии?</w:t>
      </w:r>
    </w:p>
    <w:p>
      <w:pPr>
        <w:pStyle w:val="ListNumber"/>
        <w:spacing w:after="40"/>
      </w:pPr>
      <w:r>
        <w:t>Почему цифровая услуга требует межотраслевого анализа?</w:t>
      </w:r>
    </w:p>
    <w:p>
      <w:pPr>
        <w:pStyle w:val="Heading2"/>
        <w:keepNext/>
      </w:pPr>
      <w:r>
        <w:t>Самостоятельная работа</w:t>
      </w:r>
    </w:p>
    <w:p>
      <w:r>
        <w:rPr>
          <w:b/>
        </w:rPr>
        <w:t xml:space="preserve">Задание. </w:t>
      </w:r>
      <w:r>
        <w:t>Выберите отрасль и составьте правовой паспорт бизнеса: разрешения, регуляторы, обязательные требования до запуска и в ходе работы, отчетность, права потребителей и пять критических рисков.</w:t>
      </w:r>
    </w:p>
    <w:p>
      <w:r>
        <w:rPr>
          <w:b/>
        </w:rPr>
        <w:t xml:space="preserve">Форма результата. </w:t>
      </w:r>
      <w:r>
        <w:t>Правовой паспорт на 5–6 страниц с перечнем официальных источников.</w:t>
      </w:r>
    </w:p>
    <w:p>
      <w:r>
        <w:rPr>
          <w:b/>
        </w:rPr>
        <w:t xml:space="preserve">Обязательные требования. </w:t>
      </w:r>
      <w:r>
        <w:t>Использовать минимум три официальных источника; указывать полное наименование акта, статью при необходимости, URL и дату обращения; отделять установленные факты от предположений; не включать персональные данные реальных лиц.</w:t>
      </w:r>
    </w:p>
    <w:p>
      <w:pPr>
        <w:pStyle w:val="Heading3"/>
        <w:keepNext/>
      </w:pPr>
      <w:r>
        <w:t>Критерии оценивания</w:t>
      </w:r>
    </w:p>
    <w:p>
      <w:pPr>
        <w:pStyle w:val="ListBullet"/>
        <w:spacing w:after="40"/>
      </w:pPr>
      <w:r>
        <w:t>полнота специального режима — 35%</w:t>
      </w:r>
    </w:p>
    <w:p>
      <w:pPr>
        <w:pStyle w:val="ListBullet"/>
        <w:spacing w:after="40"/>
      </w:pPr>
      <w:r>
        <w:t>точность разрешительных требований — 25%</w:t>
      </w:r>
    </w:p>
    <w:p>
      <w:pPr>
        <w:pStyle w:val="ListBullet"/>
        <w:spacing w:after="40"/>
      </w:pPr>
      <w:r>
        <w:t>оценка рисков — 25%</w:t>
      </w:r>
    </w:p>
    <w:p>
      <w:pPr>
        <w:pStyle w:val="ListBullet"/>
        <w:spacing w:after="40"/>
      </w:pPr>
      <w:r>
        <w:t>социальная ответственность — 15%</w:t>
      </w:r>
    </w:p>
    <w:p>
      <w:r>
        <w:rPr>
          <w:b/>
        </w:rPr>
        <w:t xml:space="preserve">Шкала. </w:t>
      </w:r>
      <w:r>
        <w:t>90–100 — решение юридически точное и практически применимое; 75–89 — верная основа при отдельных пробелах; 60–74 — частично выполнены требования и недостаточно обоснован вывод; менее 60 — отсутствует необходимая квалификация или работа с источниками.</w:t>
      </w:r>
    </w:p>
    <w:p>
      <w:pPr>
        <w:pStyle w:val="Heading2"/>
        <w:keepNext/>
      </w:pPr>
      <w:r>
        <w:t>Рекомендуемые источники к теме</w:t>
      </w:r>
    </w:p>
    <w:p>
      <w:pPr>
        <w:pStyle w:val="ListBullet"/>
        <w:spacing w:after="0"/>
      </w:pPr>
      <w:r>
        <w:rPr>
          <w:sz w:val="18"/>
        </w:rPr>
        <w:t>2. Предпринимательский кодекс Республики Казахстан от 29 октября 2015 года № 375-V ЗРК.</w:t>
      </w:r>
    </w:p>
    <w:p>
      <w:pPr>
        <w:pStyle w:val="ListBullet"/>
        <w:spacing w:after="0"/>
      </w:pPr>
      <w:r>
        <w:rPr>
          <w:sz w:val="18"/>
        </w:rPr>
        <w:t>7. Закон Республики Казахстан от 16 мая 2014 года № 202-V ЗРК О разрешениях и уведомлениях.</w:t>
      </w:r>
    </w:p>
    <w:p>
      <w:pPr>
        <w:pStyle w:val="ListBullet"/>
        <w:spacing w:after="0"/>
      </w:pPr>
      <w:r>
        <w:rPr>
          <w:sz w:val="18"/>
        </w:rPr>
        <w:t>16. ИПС Әділет: https://adilet.zan.kz — официальные тексты и история редакций нормативных правовых актов.</w:t>
      </w:r>
    </w:p>
    <w:sectPr w:rsidR="00FC693F" w:rsidRPr="0006063C" w:rsidSect="00034616">
      <w:headerReference w:type="default" r:id="rId9"/>
      <w:footerReference w:type="default" r:id="rId10"/>
      <w:pgSz w:w="12240" w:h="15840"/>
      <w:pgMar w:top="1008" w:right="1008"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Страница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color w:val="595959"/>
        <w:sz w:val="16"/>
      </w:rPr>
      <w:t>Тема 6 Правовое регулирование отдельных видов предпринимательской деятельности</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eastAsia="Arial"/>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 6 Правовое регулирование отдельных видов предпринимательской деятельности</dc:title>
  <dc:subject>Лекция и задание для самостоятельной работы</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