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240"/>
        <w:jc w:val="left"/>
      </w:pPr>
      <w:r>
        <w:t>Тема 4  Государственный контроль в предпринимательском праве</w:t>
      </w:r>
    </w:p>
    <w:p>
      <w:pPr>
        <w:spacing w:before="200"/>
      </w:pPr>
      <w:r>
        <w:rPr>
          <w:b/>
        </w:rPr>
        <w:t xml:space="preserve">Примечание об актуальности. </w:t>
      </w:r>
      <w:r>
        <w:t>Перед занятием необходимо проверить действующую редакцию нормативных правовых актов в ИПС «Әділет».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Трудоемкость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Результат CDIO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Методы обучения</w:t>
            </w:r>
          </w:p>
        </w:tc>
      </w:tr>
      <w:tr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2 акад. ч.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Этика, честность и социальная ответственность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Мини-лекция, визуальная схема, кейс, обсуждение</w:t>
            </w:r>
          </w:p>
        </w:tc>
      </w:tr>
    </w:tbl>
    <w:p>
      <w:pPr>
        <w:pStyle w:val="Heading2"/>
        <w:keepNext/>
      </w:pPr>
      <w:r>
        <w:t>Цели обучения</w:t>
      </w:r>
    </w:p>
    <w:p>
      <w:pPr>
        <w:pStyle w:val="ListBullet"/>
        <w:spacing w:after="40"/>
      </w:pPr>
      <w:r>
        <w:t>объяснять ключевые понятия и различать смежные правовые категории;</w:t>
      </w:r>
    </w:p>
    <w:p>
      <w:pPr>
        <w:pStyle w:val="ListBullet"/>
        <w:spacing w:after="40"/>
      </w:pPr>
      <w:r>
        <w:t>находить применимые нормы в официальных источниках и проверять их актуальность;</w:t>
      </w:r>
    </w:p>
    <w:p>
      <w:pPr>
        <w:pStyle w:val="ListBullet"/>
        <w:spacing w:after="40"/>
      </w:pPr>
      <w:r>
        <w:t>квалифицировать практическую ситуацию и предлагать законное, этичное решение.</w:t>
      </w:r>
    </w:p>
    <w:p>
      <w:pPr>
        <w:pStyle w:val="Heading2"/>
        <w:keepNext/>
      </w:pPr>
      <w:r>
        <w:t>План лекции</w:t>
      </w:r>
    </w:p>
    <w:p>
      <w:pPr>
        <w:pStyle w:val="ListNumber"/>
        <w:spacing w:after="40"/>
      </w:pPr>
      <w:r>
        <w:t>1. Цели и принципы государственного контроля</w:t>
      </w:r>
    </w:p>
    <w:p>
      <w:pPr>
        <w:pStyle w:val="ListNumber"/>
        <w:spacing w:after="40"/>
      </w:pPr>
      <w:r>
        <w:t>2. Формы контрольных мероприятий</w:t>
      </w:r>
    </w:p>
    <w:p>
      <w:pPr>
        <w:pStyle w:val="ListNumber"/>
        <w:spacing w:after="40"/>
      </w:pPr>
      <w:r>
        <w:t>3. Права и обязанности участников</w:t>
      </w:r>
    </w:p>
    <w:p>
      <w:pPr>
        <w:pStyle w:val="ListNumber"/>
        <w:spacing w:after="40"/>
      </w:pPr>
      <w:r>
        <w:t>4. Порядок, сроки, результаты и обжалование</w:t>
      </w:r>
    </w:p>
    <w:p>
      <w:pPr>
        <w:pStyle w:val="Heading2"/>
        <w:keepNext/>
      </w:pPr>
      <w:r>
        <w:t>Содержание лекции</w:t>
      </w:r>
    </w:p>
    <w:p>
      <w:r>
        <w:rPr>
          <w:b/>
        </w:rPr>
        <w:t xml:space="preserve">1. </w:t>
      </w:r>
      <w:r>
        <w:t>Государственный контроль направлен на предупреждение и пресечение нарушений обязательных требований. Его законность оценивается по компетенции органа, наличию основания, соблюдению процедуры, предмету, сроку, регистрации контрольного мероприятия и соразмерности примененных мер. Современная модель строится на оценке рисков и профилактике, а не только на наказании.</w:t>
      </w:r>
    </w:p>
    <w:p>
      <w:r>
        <w:rPr>
          <w:b/>
        </w:rPr>
        <w:t xml:space="preserve">2. </w:t>
      </w:r>
      <w:r>
        <w:t>Контрольные действия различаются по основаниям и последствиям. Перед допуском проверяющих предприниматель проверяет служебные удостоверения, акт о назначении, предмет проверки, сведения о регистрации и соблюдение установленных ограничений. Нельзя препятствовать законным действиям, но можно фиксировать процесс, заявлять возражения, привлекать представителя и не представлять сведения, не относящиеся к предмету проверки.</w:t>
      </w:r>
    </w:p>
    <w:p>
      <w:r>
        <w:rPr>
          <w:b/>
        </w:rPr>
        <w:t xml:space="preserve">3. </w:t>
      </w:r>
      <w:r>
        <w:t>Проверяемый субъект обязан обеспечить доступ в предусмотренных законом случаях, предоставить относящиеся к предмету документы и выполнить законные требования. Он вправе получать копии документов, давать пояснения, знакомиться с результатами, указывать возражения, обжаловать решения и требовать возмещения вреда при незаконных действиях. Проверяющие обязаны соблюдать коммерческую тайну и пределы компетенции.</w:t>
      </w:r>
    </w:p>
    <w:p>
      <w:r>
        <w:rPr>
          <w:b/>
        </w:rPr>
        <w:t xml:space="preserve">4. </w:t>
      </w:r>
      <w:r>
        <w:t>По итогам оформляются установленные законом документы, в которых фиксируются обстоятельства и выявленные нарушения. Предписание должно быть конкретным, исполнимым и основанным на обязательном требовании. Обжалование возможно в административном и судебном порядке; сроки нельзя пропускать. Эффективный комплаенс включает реестр требований, распределение ответственности, хранение доказательств и внутренние проверки.</w:t>
      </w:r>
    </w:p>
    <w:p>
      <w:r>
        <w:rPr>
          <w:b/>
        </w:rPr>
        <w:t xml:space="preserve">5. </w:t>
      </w:r>
      <w:r>
        <w:t>Этическое поведение исключает передачу неофициального вознаграждения, фальсификацию документов и давление на работников. При сомнительном требовании следует запросить письменное основание, зафиксировать коммуникацию и использовать законную процедуру обжалования.</w:t>
      </w:r>
    </w:p>
    <w:p>
      <w:pPr>
        <w:pStyle w:val="Heading2"/>
        <w:keepNext/>
      </w:pPr>
      <w:r>
        <w:t>Практический кейс для аудитории</w:t>
      </w:r>
    </w:p>
    <w:p>
      <w:r>
        <w:t>Инспектор прибыл в кафе и устно требует предоставить финансовые документы за три года, не относящиеся к санитарным требованиям. Руководитель намерен полностью закрыть доступ. Определите законную и безопасную линию поведения.</w:t>
      </w:r>
    </w:p>
    <w:p>
      <w:pPr>
        <w:pStyle w:val="Heading3"/>
        <w:keepNext/>
      </w:pPr>
      <w:r>
        <w:t>Алгоритм правового анализа</w:t>
      </w:r>
    </w:p>
    <w:p>
      <w:pPr>
        <w:pStyle w:val="ListBullet"/>
        <w:spacing w:after="40"/>
      </w:pPr>
      <w:r>
        <w:t>Зафиксировать юридически значимые факты и недостающие сведения.</w:t>
      </w:r>
    </w:p>
    <w:p>
      <w:pPr>
        <w:pStyle w:val="ListBullet"/>
        <w:spacing w:after="40"/>
      </w:pPr>
      <w:r>
        <w:t>Сформулировать один или несколько правовых вопросов.</w:t>
      </w:r>
    </w:p>
    <w:p>
      <w:pPr>
        <w:pStyle w:val="ListBullet"/>
        <w:spacing w:after="40"/>
      </w:pPr>
      <w:r>
        <w:t>Определить статус участников и применимые источники.</w:t>
      </w:r>
    </w:p>
    <w:p>
      <w:pPr>
        <w:pStyle w:val="ListBullet"/>
        <w:spacing w:after="40"/>
      </w:pPr>
      <w:r>
        <w:t>Проверить состав юридического факта, сроки и доказательства.</w:t>
      </w:r>
    </w:p>
    <w:p>
      <w:pPr>
        <w:pStyle w:val="ListBullet"/>
        <w:spacing w:after="40"/>
      </w:pPr>
      <w:r>
        <w:t>Сравнить варианты действий по законности, стоимости, срокам и рискам.</w:t>
      </w:r>
    </w:p>
    <w:p>
      <w:pPr>
        <w:pStyle w:val="ListBullet"/>
        <w:spacing w:after="40"/>
      </w:pPr>
      <w:r>
        <w:t>Сформулировать вывод и практический следующий шаг.</w:t>
      </w:r>
    </w:p>
    <w:p>
      <w:pPr>
        <w:pStyle w:val="Heading2"/>
        <w:keepNext/>
      </w:pPr>
      <w:r>
        <w:t>Вопросы для самоконтроля</w:t>
      </w:r>
    </w:p>
    <w:p>
      <w:pPr>
        <w:pStyle w:val="ListNumber"/>
        <w:spacing w:after="40"/>
      </w:pPr>
      <w:r>
        <w:t>Какие реквизиты проверяются до допуска?</w:t>
      </w:r>
    </w:p>
    <w:p>
      <w:pPr>
        <w:pStyle w:val="ListNumber"/>
        <w:spacing w:after="40"/>
      </w:pPr>
      <w:r>
        <w:t>Как соотносятся обязанность содействовать и право на защиту?</w:t>
      </w:r>
    </w:p>
    <w:p>
      <w:pPr>
        <w:pStyle w:val="ListNumber"/>
        <w:spacing w:after="40"/>
      </w:pPr>
      <w:r>
        <w:t>Какие нарушения процедуры существенны?</w:t>
      </w:r>
    </w:p>
    <w:p>
      <w:pPr>
        <w:pStyle w:val="ListNumber"/>
        <w:spacing w:after="40"/>
      </w:pPr>
      <w:r>
        <w:t>Как устроить внутренний контроль исполнения предписания?</w:t>
      </w:r>
    </w:p>
    <w:p>
      <w:pPr>
        <w:pStyle w:val="Heading2"/>
        <w:keepNext/>
      </w:pPr>
      <w:r>
        <w:t>Самостоятельная работа</w:t>
      </w:r>
    </w:p>
    <w:p>
      <w:r>
        <w:rPr>
          <w:b/>
        </w:rPr>
        <w:t xml:space="preserve">Задание. </w:t>
      </w:r>
      <w:r>
        <w:t>Разработайте внутренний регламент действий организации при проверке: роли, проверка полномочий, журнал действий, перечень документов, правила общения, защита данных и порядок обжалования.</w:t>
      </w:r>
    </w:p>
    <w:p>
      <w:r>
        <w:rPr>
          <w:b/>
        </w:rPr>
        <w:t xml:space="preserve">Форма результата. </w:t>
      </w:r>
      <w:r>
        <w:t>Регламент на 4–5 страниц и чек-лист на одну страницу.</w:t>
      </w:r>
    </w:p>
    <w:p>
      <w:r>
        <w:rPr>
          <w:b/>
        </w:rPr>
        <w:t xml:space="preserve">Обязательные требования. </w:t>
      </w:r>
      <w:r>
        <w:t>Использовать минимум три официальных источника; указывать полное наименование акта, статью при необходимости, URL и дату обращения; отделять установленные факты от предположений; не включать персональные данные реальных лиц.</w:t>
      </w:r>
    </w:p>
    <w:p>
      <w:pPr>
        <w:pStyle w:val="Heading3"/>
        <w:keepNext/>
      </w:pPr>
      <w:r>
        <w:t>Критерии оценивания</w:t>
      </w:r>
    </w:p>
    <w:p>
      <w:pPr>
        <w:pStyle w:val="ListBullet"/>
        <w:spacing w:after="40"/>
      </w:pPr>
      <w:r>
        <w:t>соответствие принципам контроля — 30%</w:t>
      </w:r>
    </w:p>
    <w:p>
      <w:pPr>
        <w:pStyle w:val="ListBullet"/>
        <w:spacing w:after="40"/>
      </w:pPr>
      <w:r>
        <w:t>практическая применимость — 30%</w:t>
      </w:r>
    </w:p>
    <w:p>
      <w:pPr>
        <w:pStyle w:val="ListBullet"/>
        <w:spacing w:after="40"/>
      </w:pPr>
      <w:r>
        <w:t>защита прав и доказательств — 25%</w:t>
      </w:r>
    </w:p>
    <w:p>
      <w:pPr>
        <w:pStyle w:val="ListBullet"/>
        <w:spacing w:after="40"/>
      </w:pPr>
      <w:r>
        <w:t>антикоррупционные меры — 15%</w:t>
      </w:r>
    </w:p>
    <w:p>
      <w:r>
        <w:rPr>
          <w:b/>
        </w:rPr>
        <w:t xml:space="preserve">Шкала. </w:t>
      </w:r>
      <w:r>
        <w:t>90–100 — решение юридически точное и практически применимое; 75–89 — верная основа при отдельных пробелах; 60–74 — частично выполнены требования и недостаточно обоснован вывод; менее 60 — отсутствует необходимая квалификация или работа с источниками.</w:t>
      </w:r>
    </w:p>
    <w:p>
      <w:pPr>
        <w:pStyle w:val="Heading2"/>
        <w:keepNext/>
      </w:pPr>
      <w:r>
        <w:t>Рекомендуемые источники к теме</w:t>
      </w:r>
    </w:p>
    <w:p>
      <w:pPr>
        <w:pStyle w:val="ListBullet"/>
        <w:spacing w:after="0"/>
      </w:pPr>
      <w:r>
        <w:rPr>
          <w:sz w:val="18"/>
        </w:rPr>
        <w:t>2. Предпринимательский кодекс Республики Казахстан от 29 октября 2015 года № 375-V ЗРК.</w:t>
      </w:r>
    </w:p>
    <w:p>
      <w:pPr>
        <w:pStyle w:val="ListBullet"/>
        <w:spacing w:after="0"/>
      </w:pPr>
      <w:r>
        <w:rPr>
          <w:sz w:val="18"/>
        </w:rPr>
        <w:t>10. Кодекс Республики Казахстан об административных правонарушениях от 5 июля 2014 года № 235-V ЗРК.</w:t>
      </w:r>
    </w:p>
    <w:p>
      <w:pPr>
        <w:pStyle w:val="ListBullet"/>
        <w:spacing w:after="0"/>
      </w:pPr>
      <w:r>
        <w:rPr>
          <w:sz w:val="18"/>
        </w:rPr>
        <w:t>12. Гражданский процессуальный кодекс Республики Казахстан от 31 октября 2015 года № 377-V ЗРК.</w:t>
      </w:r>
    </w:p>
    <w:p>
      <w:pPr>
        <w:pStyle w:val="ListBullet"/>
        <w:spacing w:after="0"/>
      </w:pPr>
      <w:r>
        <w:rPr>
          <w:sz w:val="18"/>
        </w:rPr>
        <w:t>16. ИПС Әділет: https://adilet.zan.kz — официальные тексты и история редакций нормативных правовых актов.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08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95959"/>
        <w:sz w:val="16"/>
      </w:rPr>
      <w:t>Тема 4 Государственный контроль в предпринимательском праве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4 Государственный контроль в предпринимательском праве</dc:title>
  <dc:subject>Лекция и задание для самостоятельной работы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