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260" w:rsidRPr="00B43260" w:rsidRDefault="00B43260" w:rsidP="00B4326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43260" w:rsidRPr="00B43260" w:rsidRDefault="00B43260" w:rsidP="00B432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B43260" w:rsidRPr="00B43260" w:rsidRDefault="00B43260" w:rsidP="00B432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Транспортные сооружения на автомобильных дорогах</w:t>
      </w:r>
      <w:bookmarkStart w:id="0" w:name="_GoBack"/>
      <w:bookmarkEnd w:id="0"/>
    </w:p>
    <w:p w:rsidR="00B43260" w:rsidRPr="00B43260" w:rsidRDefault="00B43260" w:rsidP="00B4326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7M07304</w:t>
      </w:r>
    </w:p>
    <w:p w:rsidR="00B43260" w:rsidRPr="00B43260" w:rsidRDefault="00B43260" w:rsidP="00B432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требования, предъявляемые к искусственным сооружениям.</w:t>
      </w:r>
    </w:p>
    <w:p w:rsidR="00B43260" w:rsidRPr="00B43260" w:rsidRDefault="00B43260" w:rsidP="00B432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432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43260" w:rsidRPr="00B43260" w:rsidRDefault="00B43260" w:rsidP="00B432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Тоннели. Область применения.  Классификация тоннелей по назначению, по глубине заложения, по способу производства работ.</w:t>
      </w:r>
    </w:p>
    <w:p w:rsidR="00B43260" w:rsidRPr="00B43260" w:rsidRDefault="00B43260" w:rsidP="00B432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432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43260" w:rsidRPr="00B43260" w:rsidRDefault="00B43260" w:rsidP="00B432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требования к конструкциям мостов и труб.</w:t>
      </w:r>
    </w:p>
    <w:p w:rsidR="00B43260" w:rsidRPr="00B43260" w:rsidRDefault="00B43260" w:rsidP="00B432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4326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43260" w:rsidRPr="00B43260" w:rsidRDefault="00B43260" w:rsidP="00B432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B43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F06922" w:rsidRDefault="00F06922"/>
    <w:sectPr w:rsidR="00F06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A20"/>
    <w:rsid w:val="00B43260"/>
    <w:rsid w:val="00EB1A20"/>
    <w:rsid w:val="00F0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A31202-B956-41A4-B4E4-CFB80AB24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878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2025-06-28T03:13:00Z</dcterms:created>
  <dcterms:modified xsi:type="dcterms:W3CDTF">2025-06-28T03:14:00Z</dcterms:modified>
</cp:coreProperties>
</file>