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350" w:rsidRDefault="00714350" w:rsidP="00714350">
      <w:pPr>
        <w:autoSpaceDE w:val="0"/>
        <w:autoSpaceDN w:val="0"/>
        <w:adjustRightInd w:val="0"/>
        <w:ind w:firstLine="720"/>
        <w:jc w:val="center"/>
        <w:rPr>
          <w:b/>
          <w:bCs/>
        </w:rPr>
      </w:pPr>
      <w:r>
        <w:rPr>
          <w:b/>
          <w:bCs/>
          <w:lang w:val="kk-KZ"/>
        </w:rPr>
        <w:t xml:space="preserve">Лекции </w:t>
      </w:r>
      <w:r>
        <w:rPr>
          <w:b/>
          <w:bCs/>
        </w:rPr>
        <w:t>10-11</w:t>
      </w:r>
    </w:p>
    <w:p w:rsidR="00714350" w:rsidRDefault="00714350" w:rsidP="00714350">
      <w:pPr>
        <w:rPr>
          <w:b/>
          <w:lang w:val="kk-KZ"/>
        </w:rPr>
      </w:pPr>
    </w:p>
    <w:p w:rsidR="00714350" w:rsidRDefault="00714350" w:rsidP="00714350">
      <w:pPr>
        <w:pStyle w:val="2"/>
        <w:spacing w:line="216" w:lineRule="auto"/>
        <w:jc w:val="center"/>
        <w:rPr>
          <w:b/>
          <w:bCs/>
        </w:rPr>
      </w:pPr>
      <w:r>
        <w:rPr>
          <w:b/>
          <w:bCs/>
        </w:rPr>
        <w:t xml:space="preserve">Классификация волоконных </w:t>
      </w:r>
      <w:proofErr w:type="spellStart"/>
      <w:r>
        <w:rPr>
          <w:b/>
          <w:bCs/>
        </w:rPr>
        <w:t>световодов</w:t>
      </w:r>
      <w:proofErr w:type="spellEnd"/>
      <w:r>
        <w:rPr>
          <w:b/>
          <w:bCs/>
        </w:rPr>
        <w:t xml:space="preserve">, Принципы технологии изготовления волоконных </w:t>
      </w:r>
      <w:proofErr w:type="spellStart"/>
      <w:r>
        <w:rPr>
          <w:b/>
          <w:bCs/>
        </w:rPr>
        <w:t>световодов</w:t>
      </w:r>
      <w:proofErr w:type="spellEnd"/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Простой волоконный </w:t>
      </w:r>
      <w:proofErr w:type="spellStart"/>
      <w:r>
        <w:t>световод</w:t>
      </w:r>
      <w:proofErr w:type="spellEnd"/>
      <w:r>
        <w:t xml:space="preserve"> (ВС) представляет собой структуру из двух коаксиальных цилиндров – сердцевину с показателем преломления 1 </w:t>
      </w:r>
      <w:r>
        <w:rPr>
          <w:i/>
          <w:iCs/>
        </w:rPr>
        <w:t xml:space="preserve">n </w:t>
      </w:r>
      <w:r>
        <w:t xml:space="preserve">и оболочку с показателем преломления 2 </w:t>
      </w:r>
      <w:proofErr w:type="gramStart"/>
      <w:r>
        <w:rPr>
          <w:i/>
          <w:iCs/>
        </w:rPr>
        <w:t xml:space="preserve">n </w:t>
      </w:r>
      <w:r>
        <w:t>,</w:t>
      </w:r>
      <w:proofErr w:type="gramEnd"/>
      <w:r>
        <w:t xml:space="preserve"> обычно заключенную в защитную оболочку из полимерного материала. Важной характеристикой ВС является профиль показателя преломления – радиальная зависимость показателя преломления такой структуры.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     Диаметр оболочки ВС обычно равен 125 мкм (иногда 30, 200, 400 мкм</w:t>
      </w:r>
      <w:proofErr w:type="gramStart"/>
      <w:r>
        <w:t>) ,</w:t>
      </w:r>
      <w:proofErr w:type="gramEnd"/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радиус </w:t>
      </w:r>
      <w:r>
        <w:rPr>
          <w:i/>
          <w:iCs/>
        </w:rPr>
        <w:t xml:space="preserve">a </w:t>
      </w:r>
      <w:r>
        <w:t xml:space="preserve">сердцевины </w:t>
      </w:r>
      <w:proofErr w:type="spellStart"/>
      <w:r>
        <w:t>многомодовых</w:t>
      </w:r>
      <w:proofErr w:type="spellEnd"/>
      <w:r>
        <w:t xml:space="preserve"> ВС равен 25-100 мкм, </w:t>
      </w:r>
      <w:proofErr w:type="spellStart"/>
      <w:r>
        <w:t>одномодовых</w:t>
      </w:r>
      <w:proofErr w:type="spellEnd"/>
      <w:r>
        <w:t xml:space="preserve"> – 3-6 мкм. В оптических приборах нередко применяются однородные кварцевые </w:t>
      </w:r>
      <w:proofErr w:type="spellStart"/>
      <w:r>
        <w:t>световоды</w:t>
      </w:r>
      <w:proofErr w:type="spellEnd"/>
      <w:r>
        <w:t xml:space="preserve"> с пластиковой оболочкой и полимерные, полностью изготовленные из полимерных материалов, </w:t>
      </w:r>
      <w:proofErr w:type="spellStart"/>
      <w:r>
        <w:t>световоды</w:t>
      </w:r>
      <w:proofErr w:type="spellEnd"/>
      <w:r>
        <w:t>. Как правило, они отличаются большой величиной числовой апертуры (0.3 – 0.5), большим диаметром сердцевины (150-200 мкм), а по параметрам дисперсии и оптических потерь значительно уступают лучшим образцам ВС.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     В волоконно-оптических гироскопах и в волоконных интерферометрах</w:t>
      </w:r>
    </w:p>
    <w:p w:rsidR="00714350" w:rsidRPr="00714350" w:rsidRDefault="00714350" w:rsidP="00714350">
      <w:pPr>
        <w:autoSpaceDE w:val="0"/>
        <w:autoSpaceDN w:val="0"/>
        <w:adjustRightInd w:val="0"/>
        <w:jc w:val="both"/>
      </w:pPr>
      <w:r>
        <w:t xml:space="preserve">используются </w:t>
      </w:r>
      <w:proofErr w:type="spellStart"/>
      <w:r>
        <w:t>световоды</w:t>
      </w:r>
      <w:proofErr w:type="spellEnd"/>
      <w:r>
        <w:t xml:space="preserve"> с сохранением поляризации излучения. В таких </w:t>
      </w:r>
      <w:proofErr w:type="spellStart"/>
      <w:r>
        <w:t>одномодовых</w:t>
      </w:r>
      <w:proofErr w:type="spellEnd"/>
      <w:r>
        <w:t xml:space="preserve"> </w:t>
      </w:r>
      <w:proofErr w:type="spellStart"/>
      <w:r>
        <w:t>световодах</w:t>
      </w:r>
      <w:proofErr w:type="spellEnd"/>
      <w:r>
        <w:t xml:space="preserve"> необходимая оптическая анизотропия сердцевины оптоволокна достигается вследствие эффекта </w:t>
      </w:r>
      <w:proofErr w:type="spellStart"/>
      <w:r>
        <w:t>фотоупругости</w:t>
      </w:r>
      <w:proofErr w:type="spellEnd"/>
      <w:r>
        <w:t xml:space="preserve">. Различие упругих механических напряжений вдоль ортогональных направлений </w:t>
      </w:r>
      <w:proofErr w:type="gramStart"/>
      <w:r>
        <w:t xml:space="preserve">( </w:t>
      </w:r>
      <w:r>
        <w:rPr>
          <w:i/>
          <w:iCs/>
        </w:rPr>
        <w:t>x</w:t>
      </w:r>
      <w:proofErr w:type="gramEnd"/>
      <w:r>
        <w:t xml:space="preserve">, </w:t>
      </w:r>
      <w:r>
        <w:rPr>
          <w:i/>
          <w:iCs/>
        </w:rPr>
        <w:t xml:space="preserve">y </w:t>
      </w:r>
      <w:r>
        <w:t xml:space="preserve">) в сечении </w:t>
      </w:r>
      <w:proofErr w:type="spellStart"/>
      <w:r>
        <w:t>световода</w:t>
      </w:r>
      <w:proofErr w:type="spellEnd"/>
      <w:r>
        <w:t xml:space="preserve"> создается благодаря своеобразному расположению напрягающих оболочек в структуре ВС. </w:t>
      </w:r>
      <w:r>
        <w:rPr>
          <w:lang w:val="en-US"/>
        </w:rPr>
        <w:t>B</w:t>
      </w:r>
      <w:proofErr w:type="spellStart"/>
      <w:r>
        <w:t>олоконные</w:t>
      </w:r>
      <w:proofErr w:type="spellEnd"/>
      <w:r>
        <w:t xml:space="preserve"> </w:t>
      </w:r>
      <w:proofErr w:type="spellStart"/>
      <w:r>
        <w:t>световоды</w:t>
      </w:r>
      <w:proofErr w:type="spellEnd"/>
      <w:r>
        <w:t xml:space="preserve"> обычно подразделяются на </w:t>
      </w:r>
      <w:proofErr w:type="spellStart"/>
      <w:r>
        <w:t>одномодовые</w:t>
      </w:r>
      <w:proofErr w:type="spellEnd"/>
      <w:r>
        <w:t>,</w:t>
      </w:r>
      <w:r w:rsidRPr="00714350">
        <w:t xml:space="preserve"> </w:t>
      </w:r>
      <w:proofErr w:type="spellStart"/>
      <w:r>
        <w:t>многомодовые</w:t>
      </w:r>
      <w:proofErr w:type="spellEnd"/>
      <w:r>
        <w:t>, градиентные, ВС с сохранением поляризации и ВС со</w:t>
      </w:r>
      <w:r w:rsidRPr="00714350">
        <w:t xml:space="preserve"> </w:t>
      </w:r>
      <w:r>
        <w:t>сложным профилем показателя преломления (к ним относятся ВС с</w:t>
      </w:r>
      <w:r w:rsidRPr="00714350">
        <w:t xml:space="preserve"> </w:t>
      </w:r>
      <w:r>
        <w:t xml:space="preserve">несколькими </w:t>
      </w:r>
      <w:proofErr w:type="spellStart"/>
      <w:r>
        <w:t>световодными</w:t>
      </w:r>
      <w:proofErr w:type="spellEnd"/>
      <w:r>
        <w:t xml:space="preserve"> жилами, ВС с некруглой сердцевиной, а также</w:t>
      </w:r>
      <w:r w:rsidRPr="00714350">
        <w:t xml:space="preserve"> </w:t>
      </w:r>
      <w:r>
        <w:t xml:space="preserve">«дырчатые», </w:t>
      </w:r>
      <w:proofErr w:type="spellStart"/>
      <w:r>
        <w:t>микроструктурированные</w:t>
      </w:r>
      <w:proofErr w:type="spellEnd"/>
      <w:r>
        <w:t xml:space="preserve"> ВС).</w:t>
      </w:r>
      <w:r w:rsidRPr="00714350">
        <w:t xml:space="preserve">    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 w:rsidRPr="00714350">
        <w:t xml:space="preserve">      </w:t>
      </w:r>
      <w:r>
        <w:t>Профиль показателя преломления в ВС определяется технологией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изготовления волокна. Старым методом двойного тигля в 80-е годы удалось получить оптоволокно с потерями величиной 2-8 дБ/км. </w:t>
      </w:r>
      <w:proofErr w:type="spellStart"/>
      <w:r>
        <w:t>Световоды</w:t>
      </w:r>
      <w:proofErr w:type="spellEnd"/>
      <w:r>
        <w:t xml:space="preserve"> </w:t>
      </w:r>
      <w:proofErr w:type="gramStart"/>
      <w:r>
        <w:t>высшего  качества</w:t>
      </w:r>
      <w:proofErr w:type="gramEnd"/>
      <w:r>
        <w:t xml:space="preserve"> получены по принципиально новой технологии, разработанной в 70-е годы. Сущность такой технологии состоит в изготовлении, на первом этапе, крупногабаритного стеклянного стержня-заготовки с требуемым радиальным распределением показателя преломления и - на втором этапе -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>вытяжке оптоволокна при нагревании этой заготовки выше температуры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25 плавления стекла (около 1400 С). Первое время при изготовлении заготовок практиковался метод наружного осаждения окислов металлов из </w:t>
      </w:r>
      <w:proofErr w:type="spellStart"/>
      <w:r>
        <w:t>газовойфазы</w:t>
      </w:r>
      <w:proofErr w:type="spellEnd"/>
      <w:r>
        <w:t xml:space="preserve"> на поверхность стержня из графита (</w:t>
      </w:r>
      <w:proofErr w:type="spellStart"/>
      <w:r>
        <w:t>Outside</w:t>
      </w:r>
      <w:proofErr w:type="spellEnd"/>
      <w:r>
        <w:t xml:space="preserve"> </w:t>
      </w:r>
      <w:proofErr w:type="spellStart"/>
      <w:r>
        <w:t>Vapor</w:t>
      </w:r>
      <w:proofErr w:type="spellEnd"/>
      <w:r>
        <w:t xml:space="preserve"> </w:t>
      </w:r>
      <w:proofErr w:type="spellStart"/>
      <w:r>
        <w:t>Phase</w:t>
      </w:r>
      <w:proofErr w:type="spellEnd"/>
      <w:r>
        <w:t xml:space="preserve"> </w:t>
      </w:r>
      <w:proofErr w:type="spellStart"/>
      <w:r>
        <w:t>Oxidation</w:t>
      </w:r>
      <w:proofErr w:type="spellEnd"/>
      <w:r>
        <w:t xml:space="preserve"> – «OVPO»). Сегодня наиболее распространен метод внутреннего осаждения из газовой фазы (</w:t>
      </w:r>
      <w:proofErr w:type="spellStart"/>
      <w:r>
        <w:t>Modified</w:t>
      </w:r>
      <w:proofErr w:type="spellEnd"/>
      <w:r>
        <w:t xml:space="preserve"> </w:t>
      </w:r>
      <w:proofErr w:type="spellStart"/>
      <w:r>
        <w:t>Chemical</w:t>
      </w:r>
      <w:proofErr w:type="spellEnd"/>
      <w:r>
        <w:t xml:space="preserve"> </w:t>
      </w:r>
      <w:proofErr w:type="spellStart"/>
      <w:r>
        <w:t>Vapor</w:t>
      </w:r>
      <w:proofErr w:type="spellEnd"/>
      <w:r>
        <w:t xml:space="preserve"> </w:t>
      </w:r>
      <w:proofErr w:type="spellStart"/>
      <w:r>
        <w:t>Deposition</w:t>
      </w:r>
      <w:proofErr w:type="spellEnd"/>
      <w:r>
        <w:t xml:space="preserve"> – «MCVD»). Сущность MCVD-метода состоит в последовательном, по специальному алгоритму, осаждении на внутренней поверхности вращающейся и нагреваемой кварцевой трубки продуктов сгорания (окислов) различных веществ, после чего полученная таким способом пористая заготовка разогревается до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температуры стеклования – образования прозрачного стекла. 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      Оптические потери в ВС, полученных методом MCVD, достигают уровня 0.2 дБ/км на длине волны 1.55 мкм. Еще лучшие результаты, особенно в области длин волн около 1,3 мкм, получены при изготовлении заготовок в вакууме с использованием метода торцевого осаждения (</w:t>
      </w:r>
      <w:proofErr w:type="spellStart"/>
      <w:r>
        <w:t>Vapor</w:t>
      </w:r>
      <w:proofErr w:type="spellEnd"/>
      <w:r>
        <w:t xml:space="preserve"> </w:t>
      </w:r>
      <w:proofErr w:type="spellStart"/>
      <w:r>
        <w:t>Phase</w:t>
      </w:r>
      <w:proofErr w:type="spellEnd"/>
      <w:r>
        <w:t xml:space="preserve"> </w:t>
      </w:r>
      <w:proofErr w:type="spellStart"/>
      <w:r>
        <w:t>Axial</w:t>
      </w:r>
      <w:proofErr w:type="spellEnd"/>
      <w:r>
        <w:t xml:space="preserve"> </w:t>
      </w:r>
      <w:proofErr w:type="spellStart"/>
      <w:r>
        <w:t>Deposition</w:t>
      </w:r>
      <w:proofErr w:type="spellEnd"/>
      <w:r>
        <w:t xml:space="preserve"> – «VAD»). Из одной монолитной стеклянной заготовки длиной около 1 метра и диаметром 10-15 мм можно вытянуть до 50 км градиентного (или </w:t>
      </w:r>
      <w:proofErr w:type="spellStart"/>
      <w:r>
        <w:t>многомодового</w:t>
      </w:r>
      <w:proofErr w:type="spellEnd"/>
      <w:r>
        <w:t xml:space="preserve">) волокна и свыше 100 км – </w:t>
      </w:r>
      <w:proofErr w:type="spellStart"/>
      <w:r>
        <w:t>одномодового</w:t>
      </w:r>
      <w:proofErr w:type="spellEnd"/>
      <w:r>
        <w:t xml:space="preserve"> волокна.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     Оптические потери в линиях связи (и в </w:t>
      </w:r>
      <w:proofErr w:type="spellStart"/>
      <w:r>
        <w:t>световодах</w:t>
      </w:r>
      <w:proofErr w:type="spellEnd"/>
      <w:r>
        <w:t>) удобно исчислять в дБ/км. Следует отметить, что при очень высоких плотностях мощности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оптического излучения в кварцевом </w:t>
      </w:r>
      <w:proofErr w:type="spellStart"/>
      <w:r>
        <w:t>световоде</w:t>
      </w:r>
      <w:proofErr w:type="spellEnd"/>
      <w:r>
        <w:t xml:space="preserve"> - более 108 </w:t>
      </w:r>
      <w:r>
        <w:rPr>
          <w:i/>
          <w:iCs/>
        </w:rPr>
        <w:t>Вт</w:t>
      </w:r>
      <w:r>
        <w:t xml:space="preserve">/ </w:t>
      </w:r>
      <w:r>
        <w:rPr>
          <w:i/>
          <w:iCs/>
        </w:rPr>
        <w:t>см</w:t>
      </w:r>
      <w:proofErr w:type="gramStart"/>
      <w:r>
        <w:t>2 ,</w:t>
      </w:r>
      <w:proofErr w:type="gramEnd"/>
    </w:p>
    <w:p w:rsidR="00714350" w:rsidRDefault="00714350" w:rsidP="00714350">
      <w:pPr>
        <w:autoSpaceDE w:val="0"/>
        <w:autoSpaceDN w:val="0"/>
        <w:adjustRightInd w:val="0"/>
        <w:jc w:val="both"/>
      </w:pPr>
      <w:r>
        <w:lastRenderedPageBreak/>
        <w:t>становятся заметными эффекты нелинейности, например, ВКР и ВРМБ,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>которые сопровождаются дополнительными оптическими потерями. При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>небольших уровнях мощности распространяющегося излучения основными причинами затухания излучения в ВС являются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- рассеяние Релея (рассеяние на микрочастицах с размерами </w:t>
      </w:r>
      <w:r>
        <w:rPr>
          <w:i/>
          <w:iCs/>
        </w:rPr>
        <w:t xml:space="preserve">d </w:t>
      </w:r>
      <w:proofErr w:type="spellStart"/>
      <w:r>
        <w:t>pp</w:t>
      </w:r>
      <w:proofErr w:type="gramStart"/>
      <w:r>
        <w:rPr>
          <w:rFonts w:eastAsia="SymbolMT"/>
        </w:rPr>
        <w:t>λ</w:t>
      </w:r>
      <w:proofErr w:type="spellEnd"/>
      <w:r>
        <w:rPr>
          <w:rFonts w:eastAsia="SymbolMT"/>
        </w:rPr>
        <w:t xml:space="preserve"> </w:t>
      </w:r>
      <w:r>
        <w:t>)</w:t>
      </w:r>
      <w:proofErr w:type="gramEnd"/>
      <w:r>
        <w:t>,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>- фундаментальное поглощение,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>- рассеяние Ми (рассеяние на микрочастицах и неоднородностях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масштаба </w:t>
      </w:r>
      <w:r>
        <w:rPr>
          <w:i/>
          <w:iCs/>
        </w:rPr>
        <w:t xml:space="preserve">d </w:t>
      </w:r>
      <w:proofErr w:type="spellStart"/>
      <w:r>
        <w:t>ff</w:t>
      </w:r>
      <w:proofErr w:type="spellEnd"/>
      <w:r>
        <w:t xml:space="preserve"> </w:t>
      </w:r>
      <w:proofErr w:type="gramStart"/>
      <w:r>
        <w:rPr>
          <w:rFonts w:eastAsia="SymbolMT"/>
        </w:rPr>
        <w:t xml:space="preserve">λ </w:t>
      </w:r>
      <w:r>
        <w:t>)</w:t>
      </w:r>
      <w:proofErr w:type="gramEnd"/>
      <w:r>
        <w:t>,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- радиационные потери на дефектах </w:t>
      </w:r>
      <w:proofErr w:type="spellStart"/>
      <w:r>
        <w:t>световода</w:t>
      </w:r>
      <w:proofErr w:type="spellEnd"/>
      <w:r>
        <w:t xml:space="preserve"> и при изгибах волокна.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      Характерными особенностями </w:t>
      </w:r>
      <w:proofErr w:type="spellStart"/>
      <w:r>
        <w:t>релеевского</w:t>
      </w:r>
      <w:proofErr w:type="spellEnd"/>
      <w:r>
        <w:t xml:space="preserve"> рассеяния света являются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>примерно равное рассеяние в прямом и обратном направлениях, линейная поляризация рассеянного в сторону излучения и сильная, пропорциональная 1/</w:t>
      </w:r>
      <w:r>
        <w:rPr>
          <w:rFonts w:eastAsia="SymbolMT"/>
        </w:rPr>
        <w:t>λ</w:t>
      </w:r>
      <w:proofErr w:type="gramStart"/>
      <w:r>
        <w:t>4 ,</w:t>
      </w:r>
      <w:proofErr w:type="gramEnd"/>
      <w:r>
        <w:t xml:space="preserve"> зависимость мощности рассеянного излучения от длины волны. Вклад </w:t>
      </w:r>
      <w:proofErr w:type="spellStart"/>
      <w:r>
        <w:t>релеевского</w:t>
      </w:r>
      <w:proofErr w:type="spellEnd"/>
      <w:r>
        <w:t xml:space="preserve"> рассеяния в потери оптической мощности в ВС наиболее значителен в коротковолновой, менее 0.8 мкм области спектра. Рассеяние на крупных неоднородностях (Ми) отличается вытянутой в направлении распространения падающего света угловой диаграммой и относительно слабой спектральной зависимостью мощности рассеяния.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      Потери вследствие фундаментального поглощения излучения в стекле обусловлены тремя механизмами: собственным поглощением материала, поглощением на примесях (несобственным поглощением) и потерями на дефектах атомной решетки. Мощное собственное поглощение вызывается электронными переходами в ультрафиолетовой (УФ) области спектра и переходами между колебательными уровнями в инфракрасной (ИК) области спектра системы энергетических уровней молекулы кварца </w:t>
      </w:r>
      <w:proofErr w:type="gramStart"/>
      <w:r>
        <w:t>( 2</w:t>
      </w:r>
      <w:proofErr w:type="gramEnd"/>
      <w:r>
        <w:t xml:space="preserve"> </w:t>
      </w:r>
      <w:proofErr w:type="spellStart"/>
      <w:r>
        <w:rPr>
          <w:i/>
          <w:iCs/>
        </w:rPr>
        <w:t>SiO</w:t>
      </w:r>
      <w:proofErr w:type="spellEnd"/>
      <w:r>
        <w:rPr>
          <w:i/>
          <w:iCs/>
        </w:rPr>
        <w:t xml:space="preserve"> </w:t>
      </w:r>
      <w:r>
        <w:t xml:space="preserve">). Так значительное поглощение из-за перестройки электронных орбит в 2 </w:t>
      </w:r>
      <w:proofErr w:type="spellStart"/>
      <w:r>
        <w:rPr>
          <w:i/>
          <w:iCs/>
        </w:rPr>
        <w:t>SiO</w:t>
      </w:r>
      <w:proofErr w:type="spellEnd"/>
      <w:r>
        <w:rPr>
          <w:i/>
          <w:iCs/>
        </w:rPr>
        <w:t xml:space="preserve"> </w:t>
      </w:r>
      <w:r>
        <w:t>происходит в УФ-области спектра на длине волны около 0.14 мкм.</w:t>
      </w:r>
    </w:p>
    <w:p w:rsidR="00714350" w:rsidRDefault="00714350" w:rsidP="00714350">
      <w:pPr>
        <w:autoSpaceDE w:val="0"/>
        <w:autoSpaceDN w:val="0"/>
        <w:adjustRightInd w:val="0"/>
        <w:jc w:val="both"/>
      </w:pPr>
      <w:r>
        <w:t xml:space="preserve">      Наиболее интенсивное поглощение вследствие переходов между</w:t>
      </w:r>
    </w:p>
    <w:p w:rsidR="00714350" w:rsidRDefault="00714350" w:rsidP="00714350">
      <w:pPr>
        <w:autoSpaceDE w:val="0"/>
        <w:autoSpaceDN w:val="0"/>
        <w:adjustRightInd w:val="0"/>
        <w:jc w:val="both"/>
        <w:rPr>
          <w:b/>
          <w:bCs/>
        </w:rPr>
      </w:pPr>
      <w:r>
        <w:t>колебательными уровнями молекулы кварца происходит на длине волны 9.2 мкм, при этом высшие гармоники такого «осциллятора» (обертоны) расположены вблизи длин волн 3.2, 2.8 и 4.4 мкм.</w:t>
      </w:r>
    </w:p>
    <w:p w:rsidR="00B420CC" w:rsidRDefault="00714350">
      <w:bookmarkStart w:id="0" w:name="_GoBack"/>
      <w:bookmarkEnd w:id="0"/>
    </w:p>
    <w:sectPr w:rsidR="00B42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34F"/>
    <w:rsid w:val="00527B23"/>
    <w:rsid w:val="006A6DB8"/>
    <w:rsid w:val="00714350"/>
    <w:rsid w:val="00717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F7AF1B-7648-4DE4-AD0F-EC95130F1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3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71435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semiHidden/>
    <w:rsid w:val="0071435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2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841</Words>
  <Characters>4799</Characters>
  <Application>Microsoft Office Word</Application>
  <DocSecurity>0</DocSecurity>
  <Lines>39</Lines>
  <Paragraphs>11</Paragraphs>
  <ScaleCrop>false</ScaleCrop>
  <Company/>
  <LinksUpToDate>false</LinksUpToDate>
  <CharactersWithSpaces>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2024-03-11T05:03:00Z</dcterms:created>
  <dcterms:modified xsi:type="dcterms:W3CDTF">2024-03-11T05:04:00Z</dcterms:modified>
</cp:coreProperties>
</file>