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74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96"/>
      </w:tblGrid>
      <w:tr w:rsidR="007650EC" w:rsidRPr="007650EC" w:rsidTr="00840F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7650EC" w:rsidRPr="007650EC" w:rsidRDefault="007650EC" w:rsidP="007650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6699FF"/>
                <w:sz w:val="36"/>
                <w:szCs w:val="36"/>
                <w:lang w:eastAsia="ru-RU"/>
              </w:rPr>
            </w:pPr>
            <w:r w:rsidRPr="007650EC">
              <w:rPr>
                <w:rFonts w:ascii="Arial" w:eastAsia="Times New Roman" w:hAnsi="Arial" w:cs="Arial"/>
                <w:b/>
                <w:bCs/>
                <w:color w:val="6699FF"/>
                <w:sz w:val="36"/>
                <w:szCs w:val="36"/>
                <w:lang w:eastAsia="ru-RU"/>
              </w:rPr>
              <w:t xml:space="preserve">Принцип действия </w:t>
            </w:r>
            <w:proofErr w:type="gramStart"/>
            <w:r w:rsidRPr="007650EC">
              <w:rPr>
                <w:rFonts w:ascii="Arial" w:eastAsia="Times New Roman" w:hAnsi="Arial" w:cs="Arial"/>
                <w:b/>
                <w:bCs/>
                <w:color w:val="6699FF"/>
                <w:sz w:val="36"/>
                <w:szCs w:val="36"/>
                <w:lang w:eastAsia="ru-RU"/>
              </w:rPr>
              <w:t>волоконных</w:t>
            </w:r>
            <w:proofErr w:type="gramEnd"/>
            <w:r w:rsidRPr="007650EC">
              <w:rPr>
                <w:rFonts w:ascii="Arial" w:eastAsia="Times New Roman" w:hAnsi="Arial" w:cs="Arial"/>
                <w:b/>
                <w:bCs/>
                <w:color w:val="6699FF"/>
                <w:sz w:val="36"/>
                <w:szCs w:val="36"/>
                <w:lang w:eastAsia="ru-RU"/>
              </w:rPr>
              <w:t xml:space="preserve"> </w:t>
            </w:r>
            <w:proofErr w:type="spellStart"/>
            <w:r w:rsidRPr="007650EC">
              <w:rPr>
                <w:rFonts w:ascii="Arial" w:eastAsia="Times New Roman" w:hAnsi="Arial" w:cs="Arial"/>
                <w:b/>
                <w:bCs/>
                <w:color w:val="6699FF"/>
                <w:sz w:val="36"/>
                <w:szCs w:val="36"/>
                <w:lang w:eastAsia="ru-RU"/>
              </w:rPr>
              <w:t>световодов</w:t>
            </w:r>
            <w:proofErr w:type="spellEnd"/>
          </w:p>
        </w:tc>
      </w:tr>
      <w:tr w:rsidR="007650EC" w:rsidRPr="007650EC" w:rsidTr="00840F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Основным элементом оптического кабеля является волоконный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выполненный в виде тонкого стеклянного волокна цилиндрической формы, по которому осуществляется передача волн микронных длин, что соответствует диапазону частот 10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ru-RU"/>
              </w:rPr>
              <w:t>14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-10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ru-RU"/>
              </w:rPr>
              <w:t>15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Гц. </w:t>
            </w:r>
            <w:proofErr w:type="gram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Волоконный</w:t>
            </w:r>
            <w:proofErr w:type="gram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как правило, имеет двухслойную конструкцию и состоит из сердечника и оболочки с разными оптическими характеристиками (n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1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и n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2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).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Наиболее широкое применение получили волоконные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световоды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двух типов: ступенчатые и градиентные. У ступенчатых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световодов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показатель преломления в сердечнике постоянен и имеется резкий переход от n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1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сердечника к n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2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оболочки. Градиентные волокна имеют непрерывное плавное изменение показателя преломления в сердечнике по радиусу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от центра к периферии.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В свою очередь ступенчатые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световоды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подразделяются на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одномодовые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многомодовые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В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одномодовых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световодах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диаметр сердечника соизмерим с длиной волны ( </w:t>
            </w: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2BCD051" wp14:editId="5090A192">
                  <wp:extent cx="396875" cy="172720"/>
                  <wp:effectExtent l="0" t="0" r="3175" b="0"/>
                  <wp:docPr id="22" name="Рисунок 22" descr="http://elib.kstu.kz/fulltext/!!!books/%D0%9B%D0%B8%D0%BD%D0%B8%D0%B8%20%D1%81%D0%B2%D1%8F%D0%B7%D0%B8/formulas/26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elib.kstu.kz/fulltext/!!!books/%D0%9B%D0%B8%D0%BD%D0%B8%D0%B8%20%D1%81%D0%B2%D1%8F%D0%B7%D0%B8/formulas/26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875" cy="172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) и по нему передается лишь один тип волны (мода). В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многомодовых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световодах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диаметр сердечника больше длины волны (d&gt;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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) и по нему распространяется большое число волн. Практически сердечник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световодов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составляет 6-8 мкм у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одномодовых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и 50 мкм - у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многомодовых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световодов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Диаметр оболочки 125 мкм. Снаружи располагается покрытие диаметром 600 мкм. Таким образом, существующие в настоящее время волоконные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световоды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можно классифицировать на три типа: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одномодовые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многомодовые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и градиентные (рис. 4.7).</w:t>
            </w:r>
          </w:p>
          <w:p w:rsidR="007650EC" w:rsidRPr="007650EC" w:rsidRDefault="007650EC" w:rsidP="007650E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793387A" wp14:editId="45EA8360">
                  <wp:extent cx="3813175" cy="2423795"/>
                  <wp:effectExtent l="0" t="0" r="0" b="0"/>
                  <wp:docPr id="21" name="Рисунок 21" descr="http://elib.kstu.kz/fulltext/!!!books/%D0%9B%D0%B8%D0%BD%D0%B8%D0%B8%20%D1%81%D0%B2%D1%8F%D0%B7%D0%B8/pictures/pic4.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elib.kstu.kz/fulltext/!!!books/%D0%9B%D0%B8%D0%BD%D0%B8%D0%B8%20%D1%81%D0%B2%D1%8F%D0%B7%D0%B8/pictures/pic4.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3175" cy="2423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Рисунок 4.7. Волоконные </w:t>
            </w:r>
            <w:proofErr w:type="spellStart"/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  <w:t>световоды</w:t>
            </w:r>
            <w:proofErr w:type="spellEnd"/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  <w:t>: а) эпюра показателя преломления; б) прохождение луча;</w:t>
            </w:r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  <w:br/>
            </w:r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1 - </w:t>
            </w:r>
            <w:proofErr w:type="spellStart"/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одномодовые</w:t>
            </w:r>
            <w:proofErr w:type="spellEnd"/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; 2 - </w:t>
            </w:r>
            <w:proofErr w:type="spellStart"/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многомодовые</w:t>
            </w:r>
            <w:proofErr w:type="spellEnd"/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; 3 - градиентные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Как видно из рисунка, ход лучей в различных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световодах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различен. В ступенчатом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многомодовом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световоде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лучи резко отражаются от границы сердечник - оболочка. Причем пути следования различных лучей различны, и поэтому они приходят к концу линии со сдвигом по времени. Это приводит к искажению передаваемого сигнала (дисперсии).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Градиентные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световоды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также являются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многомодовыми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Но здесь лучи 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 xml:space="preserve">распространяются по волнообразным траекториям. Причем лучи, находящиеся близко от оси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, проходят меньший путь, но в области с большим показателем преломления, а периферийные лучи имеют большой путь, но в среде с меньшим показателем преломления. В результате скорость распространения различных лучей выравнивается и они приходят к концу линии практически в одно время. Вследствие этого искажения передаваемого сигнала в градиентных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световодах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меньше, чем в ступенчатых.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Для параболического распределения показателя преломления закон изменения n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1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по радиусу определяется выражением</w:t>
            </w:r>
          </w:p>
          <w:p w:rsidR="007650EC" w:rsidRPr="007650EC" w:rsidRDefault="007650EC" w:rsidP="007650E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0BED8A9" wp14:editId="448A9C9E">
                  <wp:extent cx="1992630" cy="370840"/>
                  <wp:effectExtent l="0" t="0" r="7620" b="0"/>
                  <wp:docPr id="20" name="Рисунок 20" descr="http://elib.kstu.kz/fulltext/!!!books/%D0%9B%D0%B8%D0%BD%D0%B8%D0%B8%20%D1%81%D0%B2%D1%8F%D0%B7%D0%B8/formulas/26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elib.kstu.kz/fulltext/!!!books/%D0%9B%D0%B8%D0%BD%D0%B8%D0%B8%20%D1%81%D0%B2%D1%8F%D0%B7%D0%B8/formulas/26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2630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650EC" w:rsidRPr="007650EC" w:rsidRDefault="007650EC" w:rsidP="007650E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где r - текущий радиус;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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- радиус сердечника; n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0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- показатель преломления в центре сердечника (примерно 1,5);</w:t>
            </w:r>
          </w:p>
          <w:p w:rsidR="007650EC" w:rsidRPr="007650EC" w:rsidRDefault="007650EC" w:rsidP="007650E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4A72F58" wp14:editId="6CD0038E">
                  <wp:extent cx="2743200" cy="543560"/>
                  <wp:effectExtent l="0" t="0" r="0" b="8890"/>
                  <wp:docPr id="19" name="Рисунок 19" descr="http://elib.kstu.kz/fulltext/!!!books/%D0%9B%D0%B8%D0%BD%D0%B8%D0%B8%20%D1%81%D0%B2%D1%8F%D0%B7%D0%B8/formulas/26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elib.kstu.kz/fulltext/!!!books/%D0%9B%D0%B8%D0%BD%D0%B8%D0%B8%20%D1%81%D0%B2%D1%8F%D0%B7%D0%B8/formulas/26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543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650EC" w:rsidRPr="007650EC" w:rsidRDefault="007650EC" w:rsidP="007650E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Сердечник служит для передачи электромагнитной энергии. Назначение оболочки - создание лучших условий отражения на границе сердечник - оболочка и защита от излучения энергии в окружающее пространство.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Рассмотрим физические процессы, происходящие при распространении электромагнитных волн в волоконных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световодах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оптических кабелей.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 отличие от обычных кабелей, обладающих электрической проводимостью и током проводимости (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I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Пр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), ОК имеют совершенно другой механизм передачи, а именно диэлектрическую проводимость и токи смещения (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I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см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 - по аналогии с радиопередачей. Информация передается через диэлектрик (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 в форме электромагнитной волны. Направление волны осуществляется за счет отражений от границы с разными значениями показателя преломления у сердечника и оболочки (n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1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и n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2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Передача по оптическим кабелям это, по существу, радиопередача, но здесь распространяется волна не во все стороны, а канализуется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световодом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в заданном направлении (рис. 4.8).</w:t>
            </w:r>
          </w:p>
          <w:p w:rsidR="007650EC" w:rsidRPr="007650EC" w:rsidRDefault="007650EC" w:rsidP="007650E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3254E75" wp14:editId="493F9953">
                  <wp:extent cx="3329940" cy="1845945"/>
                  <wp:effectExtent l="0" t="0" r="3810" b="1905"/>
                  <wp:docPr id="18" name="Рисунок 18" descr="http://elib.kstu.kz/fulltext/!!!books/%D0%9B%D0%B8%D0%BD%D0%B8%D0%B8%20%D1%81%D0%B2%D1%8F%D0%B7%D0%B8/pictures/pic4.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elib.kstu.kz/fulltext/!!!books/%D0%9B%D0%B8%D0%BD%D0%B8%D0%B8%20%D1%81%D0%B2%D1%8F%D0%B7%D0%B8/pictures/pic4.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9940" cy="1845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Рисунок 4.8. Процесс передачи: а) по радио; б) по </w:t>
            </w:r>
            <w:proofErr w:type="spellStart"/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  <w:t>световоду</w:t>
            </w:r>
            <w:proofErr w:type="spellEnd"/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В обычных широко применяемых в настоящее время симметричных и 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 xml:space="preserve">коаксиальных кабелях передача осуществляется по двухпроводной схеме с применением прямого и обратного проводников цепи (рис. 4.9,а). В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световодах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, волноводах и других направляющих системах нет двух проводников, и передача происходит волноводным методом по закону зигзагообразного отражения волны от границы раздела сред (рис. 4.9,6). Такой отраженной границей может быть металл - диэлектрик, диэлектрик - диэлектрик с различными диэлектрическими (оптическими) свойствами и др. На волноводном принципе действуют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волновод, линия поверхностной волны, диэлектрический волновод и другие конструкции направляющих систем (НС.).</w:t>
            </w:r>
          </w:p>
          <w:p w:rsidR="007650EC" w:rsidRPr="007650EC" w:rsidRDefault="007650EC" w:rsidP="007650E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7E9CF30" wp14:editId="4FBE1A3C">
                  <wp:extent cx="2380615" cy="1984375"/>
                  <wp:effectExtent l="0" t="0" r="635" b="0"/>
                  <wp:docPr id="17" name="Рисунок 17" descr="http://elib.kstu.kz/fulltext/!!!books/%D0%9B%D0%B8%D0%BD%D0%B8%D0%B8%20%D1%81%D0%B2%D1%8F%D0%B7%D0%B8/pictures/pic4.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elib.kstu.kz/fulltext/!!!books/%D0%9B%D0%B8%D0%BD%D0%B8%D0%B8%20%D1%81%D0%B2%D1%8F%D0%B7%D0%B8/pictures/pic4.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0615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  <w:t>Рисунок 4.9. Передача энергии по двухпроводным (а) и волноводным (б) системам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Граница раздела двухпроводных (двухсвязных) и волноводных (односвязных) направляющих систем характеризуется соотношением между длиной волны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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и поперечными размерами направляющей системы d. При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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&gt;d требуется два провода: прямой и обратный и передача происходит по обычной двухпроводной схеме. При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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&lt;d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Рассмотрим процесс распространения электромагнитной волны по двухслойному волоконному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световоду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(рис. 4.10). Здесь волна образует с поперечным сечением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угол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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и многократно отражается от границы сердечник - оболочка под углом 26. Между длиной волны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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, диаметром сердечника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d и углом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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действует следующее соотношение:&lt;/d</w:t>
            </w:r>
          </w:p>
          <w:p w:rsidR="007650EC" w:rsidRPr="007650EC" w:rsidRDefault="007650EC" w:rsidP="007650E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B0159AC" wp14:editId="0DD9E837">
                  <wp:extent cx="629920" cy="396875"/>
                  <wp:effectExtent l="0" t="0" r="0" b="3175"/>
                  <wp:docPr id="16" name="Рисунок 16" descr="http://elib.kstu.kz/fulltext/!!!books/%D0%9B%D0%B8%D0%BD%D0%B8%D0%B8%20%D1%81%D0%B2%D1%8F%D0%B7%D0%B8/formulas/27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elib.kstu.kz/fulltext/!!!books/%D0%9B%D0%B8%D0%BD%D0%B8%D0%B8%20%D1%81%D0%B2%D1%8F%D0%B7%D0%B8/formulas/27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920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650EC" w:rsidRPr="007650EC" w:rsidRDefault="007650EC" w:rsidP="007650E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BAE3974" wp14:editId="65DF0F2C">
                  <wp:extent cx="5909310" cy="1630680"/>
                  <wp:effectExtent l="0" t="0" r="0" b="7620"/>
                  <wp:docPr id="15" name="Рисунок 15" descr="http://elib.kstu.kz/fulltext/!!!books/%D0%9B%D0%B8%D0%BD%D0%B8%D0%B8%20%D1%81%D0%B2%D1%8F%D0%B7%D0%B8/pictures/pic4.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elib.kstu.kz/fulltext/!!!books/%D0%9B%D0%B8%D0%BD%D0%B8%D0%B8%20%D1%81%D0%B2%D1%8F%D0%B7%D0%B8/pictures/pic4.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9310" cy="1630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Рисунок 4.10. Распространение электромагнитной волны в </w:t>
            </w:r>
            <w:proofErr w:type="spellStart"/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  <w:t>световоде</w:t>
            </w:r>
            <w:proofErr w:type="spellEnd"/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для частот: а) очень высоких; б) менее высоких; в) критических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На рис. 4.10 показаны предельные случаи распространения малых длин волн ( </w:t>
            </w: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9560AE3" wp14:editId="34EC82A1">
                  <wp:extent cx="387985" cy="163830"/>
                  <wp:effectExtent l="0" t="0" r="0" b="7620"/>
                  <wp:docPr id="14" name="Рисунок 14" descr="http://elib.kstu.kz/fulltext/!!!books/%D0%9B%D0%B8%D0%BD%D0%B8%D0%B8%20%D1%81%D0%B2%D1%8F%D0%B7%D0%B8/formulas/27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elib.kstu.kz/fulltext/!!!books/%D0%9B%D0%B8%D0%BD%D0%B8%D0%B8%20%D1%81%D0%B2%D1%8F%D0%B7%D0%B8/formulas/27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7985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) (рис. 4.10,а) и волн, соизмеримых с диаметром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05C1DFF" wp14:editId="18F7B2BB">
                  <wp:extent cx="396875" cy="163830"/>
                  <wp:effectExtent l="0" t="0" r="3175" b="7620"/>
                  <wp:docPr id="13" name="Рисунок 13" descr="http://elib.kstu.kz/fulltext/!!!books/%D0%9B%D0%B8%D0%BD%D0%B8%D0%B8%20%D1%81%D0%B2%D1%8F%D0%B7%D0%B8/formulas/27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elib.kstu.kz/fulltext/!!!books/%D0%9B%D0%B8%D0%BD%D0%B8%D0%B8%20%D1%81%D0%B2%D1%8F%D0%B7%D0%B8/formulas/27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875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 (рис. 4.10,6). В первом случае (</w:t>
            </w: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1906368" wp14:editId="4B4284D1">
                  <wp:extent cx="396875" cy="163830"/>
                  <wp:effectExtent l="0" t="0" r="3175" b="7620"/>
                  <wp:docPr id="12" name="Рисунок 12" descr="http://elib.kstu.kz/fulltext/!!!books/%D0%9B%D0%B8%D0%BD%D0%B8%D0%B8%20%D1%81%D0%B2%D1%8F%D0%B7%D0%B8/formulas/27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elib.kstu.kz/fulltext/!!!books/%D0%9B%D0%B8%D0%BD%D0%B8%D0%B8%20%D1%81%D0%B2%D1%8F%D0%B7%D0%B8/formulas/27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875" cy="163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и </w:t>
            </w: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1EE1F77" wp14:editId="3739F465">
                  <wp:extent cx="431165" cy="180975"/>
                  <wp:effectExtent l="0" t="0" r="6985" b="9525"/>
                  <wp:docPr id="11" name="Рисунок 11" descr="http://elib.kstu.kz/fulltext/!!!books/%D0%9B%D0%B8%D0%BD%D0%B8%D0%B8%20%D1%81%D0%B2%D1%8F%D0%B7%D0%B8/formulas/27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elib.kstu.kz/fulltext/!!!books/%D0%9B%D0%B8%D0%BD%D0%B8%D0%B8%20%D1%81%D0%B2%D1%8F%D0%B7%D0%B8/formulas/27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16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) угол</w:t>
            </w: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5618A34" wp14:editId="49FFB99E">
                  <wp:extent cx="483235" cy="180975"/>
                  <wp:effectExtent l="0" t="0" r="0" b="9525"/>
                  <wp:docPr id="10" name="Рисунок 10" descr="http://elib.kstu.kz/fulltext/!!!books/%D0%9B%D0%B8%D0%BD%D0%B8%D0%B8%20%D1%81%D0%B2%D1%8F%D0%B7%D0%B8/formulas/27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elib.kstu.kz/fulltext/!!!books/%D0%9B%D0%B8%D0%BD%D0%B8%D0%B8%20%D1%81%D0%B2%D1%8F%D0%B7%D0%B8/formulas/27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2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, отражений мало и волна стремится к прямолинейному движению вдоль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В этом случае передача по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световоду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проходит в выгодных условиях. Во втором случае ( </w:t>
            </w: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280BC3C" wp14:editId="4FC241D5">
                  <wp:extent cx="396875" cy="155575"/>
                  <wp:effectExtent l="0" t="0" r="3175" b="0"/>
                  <wp:docPr id="9" name="Рисунок 9" descr="http://elib.kstu.kz/fulltext/!!!books/%D0%9B%D0%B8%D0%BD%D0%B8%D0%B8%20%D1%81%D0%B2%D1%8F%D0%B7%D0%B8/formulas/27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elib.kstu.kz/fulltext/!!!books/%D0%9B%D0%B8%D0%BD%D0%B8%D0%B8%20%D1%81%D0%B2%D1%8F%D0%B7%D0%B8/formulas/27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875" cy="155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</w:t>
            </w: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A6461EA" wp14:editId="280D5089">
                  <wp:extent cx="448310" cy="189865"/>
                  <wp:effectExtent l="0" t="0" r="8890" b="635"/>
                  <wp:docPr id="8" name="Рисунок 8" descr="http://elib.kstu.kz/fulltext/!!!books/%D0%9B%D0%B8%D0%BD%D0%B8%D0%B8%20%D1%81%D0%B2%D1%8F%D0%B7%D0%B8/formulas/27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elib.kstu.kz/fulltext/!!!books/%D0%9B%D0%B8%D0%BD%D0%B8%D0%B8%20%D1%81%D0%B2%D1%8F%D0%B7%D0%B8/formulas/27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8310" cy="189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 угол</w:t>
            </w: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1D75B48" wp14:editId="5DD5A5E2">
                  <wp:extent cx="422910" cy="172720"/>
                  <wp:effectExtent l="0" t="0" r="0" b="0"/>
                  <wp:docPr id="7" name="Рисунок 7" descr="http://elib.kstu.kz/fulltext/!!!books/%D0%9B%D0%B8%D0%BD%D0%B8%D0%B8%20%D1%81%D0%B2%D1%8F%D0%B7%D0%B8/formulas/27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elib.kstu.kz/fulltext/!!!books/%D0%9B%D0%B8%D0%BD%D0%B8%D0%B8%20%D1%81%D0%B2%D1%8F%D0%B7%D0%B8/formulas/27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910" cy="172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, волна испытывает большое число отражений и поступательное движение ее весьма мало. В этом случае вдоль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передается незначительная доля энергии. При определенной длине волны (рис. 4.10, в) наступает такой режим, когда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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= 0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ru-RU"/>
              </w:rPr>
              <w:t>0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и волна падает на оболочку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и отражается перпендикулярно. В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световоде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устанавливается режим стоячей волны и энергия вдоль нее не перемещается. Это соответствует случаю критической длины волны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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0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=d и критической частоты f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0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=c/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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0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= c/d.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Таким образом, в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световоде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могут распространяться лишь волны длиной, меньшей, чем диаметр сердечника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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Однако в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световоде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, учитывая, что границей раздела сред сердечник - оболочка является прозрачное стекло, возможно, не только отражение оптического луча, но и проникновение его в оболочку. Для предотвращения перехода энергии в оболочку и излучения в окружающее пространство необходимо соблюдать условие полного внутреннего отражения. Реализация этого условия применительно к двухслойному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световоду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показана на рис. 4.11.</w:t>
            </w:r>
          </w:p>
          <w:p w:rsidR="007650EC" w:rsidRPr="007650EC" w:rsidRDefault="007650EC" w:rsidP="007650E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849A8F0" wp14:editId="6CE2F738">
                  <wp:extent cx="5710555" cy="1768475"/>
                  <wp:effectExtent l="0" t="0" r="4445" b="3175"/>
                  <wp:docPr id="6" name="Рисунок 6" descr="http://elib.kstu.kz/fulltext/!!!books/%D0%9B%D0%B8%D0%BD%D0%B8%D0%B8%20%D1%81%D0%B2%D1%8F%D0%B7%D0%B8/pictures/pic4.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elib.kstu.kz/fulltext/!!!books/%D0%9B%D0%B8%D0%BD%D0%B8%D0%B8%20%D1%81%D0%B2%D1%8F%D0%B7%D0%B8/pictures/pic4.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0555" cy="176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Рисунок 4.11. Принцип действия волоконного </w:t>
            </w:r>
            <w:proofErr w:type="spellStart"/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7650EC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ru-RU"/>
              </w:rPr>
              <w:t>: а) луч в пределах апертурного угла; б) луч выходит за апертурный угол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 законам геометрической оптики в общем виде на границе сердечник - оболочка будут падающая волна с углом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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п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отраженная с углом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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0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и преломленная волна с углом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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Пр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 Известно, что при переходе из среды с большей плотностью в среду с меньшей плотностью, т. е. при n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1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&gt;n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2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волна при определенном угле падения полностью отражается и не переходит в другую среду - преломленный луч отсутствует (рис. 4.11, а). Угол падения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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п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начиная с которого вся энергия отражается от границы раздела сред; т. е. при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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п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=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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Е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 </w:t>
            </w:r>
            <w:r w:rsidRPr="007650EC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ru-RU"/>
              </w:rPr>
              <w:t>называется углом полного внутреннего отражения.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 Этот угол определяется из соотношения:</w:t>
            </w:r>
          </w:p>
          <w:p w:rsidR="007650EC" w:rsidRPr="007650EC" w:rsidRDefault="007650EC" w:rsidP="007650E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5A331F18" wp14:editId="763CD061">
                  <wp:extent cx="2173605" cy="336550"/>
                  <wp:effectExtent l="0" t="0" r="0" b="6350"/>
                  <wp:docPr id="5" name="Рисунок 5" descr="http://elib.kstu.kz/fulltext/!!!books/%D0%9B%D0%B8%D0%BD%D0%B8%D0%B8%20%D1%81%D0%B2%D1%8F%D0%B7%D0%B8/formulas/27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elib.kstu.kz/fulltext/!!!books/%D0%9B%D0%B8%D0%BD%D0%B8%D0%B8%20%D1%81%D0%B2%D1%8F%D0%B7%D0%B8/formulas/27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3605" cy="33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,       (4.2)</w:t>
            </w:r>
          </w:p>
          <w:p w:rsidR="007650EC" w:rsidRPr="007650EC" w:rsidRDefault="007650EC" w:rsidP="007650E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где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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и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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- соответственно магнитная и диэлектрическая проницаемость сердечника (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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1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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1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 и оболочки (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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2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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2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). При </w:t>
            </w: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6131253" wp14:editId="74B2C201">
                  <wp:extent cx="569595" cy="241300"/>
                  <wp:effectExtent l="0" t="0" r="1905" b="6350"/>
                  <wp:docPr id="4" name="Рисунок 4" descr="http://elib.kstu.kz/fulltext/!!!books/%D0%9B%D0%B8%D0%BD%D0%B8%D0%B8%20%D1%81%D0%B2%D1%8F%D0%B7%D0%B8/formulas/28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elib.kstu.kz/fulltext/!!!books/%D0%9B%D0%B8%D0%BD%D0%B8%D0%B8%20%D1%81%D0%B2%D1%8F%D0%B7%D0%B8/formulas/28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энергия, поступившая в сердечник, полностью отражается и зигзагообразно распространяется по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световоду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(рис. 4.11, а). Чем больше угол падения волны, т. е.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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п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&gt;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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B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в пределах от 0 до 90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ru-RU"/>
              </w:rPr>
              <w:t>0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, тем лучше условия распространения и быстрей волна придет к приемному концу. В этом случае вся энергия концентрируется в сердечнике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и практически не излучается в окружающее пространство.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При угле, меньшем угла полного отражения, т. е.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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п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&lt;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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B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, энергия проникает в оболочку, излучается в окружающее пространство, и передача по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световоду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неэффективна, так как имеется преломленный луч (рис. 4.11,6).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Режим полного внутреннего отражения предопределяет условие подачи света на входной торец волоконного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Как видно из рис. 4.10,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пропускает лишь свет, заключенный в пределах телесного угла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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a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величина которого обусловлена углом полного внутреннего отражения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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B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 Этот телесный угол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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a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характеризуется апертурой.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ru-RU"/>
              </w:rPr>
              <w:t>Апертура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- это угол между оптической осью и одной из образующих светового конуса, попадающего в торец волоконного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при котором выполняется условие полного внутреннего отражения.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Обычно пользуются понятием числовой апертуры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8C9A7FD" wp14:editId="3B3E3FB2">
                  <wp:extent cx="2113280" cy="353695"/>
                  <wp:effectExtent l="0" t="0" r="1270" b="8255"/>
                  <wp:docPr id="3" name="Рисунок 3" descr="http://elib.kstu.kz/fulltext/!!!books/%D0%9B%D0%B8%D0%BD%D0%B8%D0%B8%20%D1%81%D0%B2%D1%8F%D0%B7%D0%B8/formulas/28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elib.kstu.kz/fulltext/!!!books/%D0%9B%D0%B8%D0%BD%D0%B8%D0%B8%20%D1%81%D0%B2%D1%8F%D0%B7%D0%B8/formulas/28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280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где n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0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n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1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n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2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- показатели преломления воздуха, сердечника, оболочки. Имея в виду, что для воздуха n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0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=1 получим</w:t>
            </w:r>
          </w:p>
          <w:p w:rsidR="007650EC" w:rsidRPr="007650EC" w:rsidRDefault="007650EC" w:rsidP="007650E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E1E5EA3" wp14:editId="4E217E49">
                  <wp:extent cx="1906270" cy="353695"/>
                  <wp:effectExtent l="0" t="0" r="0" b="8255"/>
                  <wp:docPr id="2" name="Рисунок 2" descr="http://elib.kstu.kz/fulltext/!!!books/%D0%9B%D0%B8%D0%BD%D0%B8%D0%B8%20%D1%81%D0%B2%D1%8F%D0%B7%D0%B8/formulas/28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elib.kstu.kz/fulltext/!!!books/%D0%9B%D0%B8%D0%BD%D0%B8%D0%B8%20%D1%81%D0%B2%D1%8F%D0%B7%D0%B8/formulas/28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6270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       (4.3)</w:t>
            </w:r>
          </w:p>
          <w:p w:rsidR="007650EC" w:rsidRP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Как видно из рис. 4.10, между углом полного внутреннего отражения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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B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и апертурным углом падения луча,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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a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имеется взаимосвязь. Чем больше угол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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B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тем меньше апертура волокна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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a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  <w:p w:rsidR="007650EC" w:rsidRDefault="007650EC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Следует стремиться к тому, чтобы угол падения луча на границу сердечник - оболочка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jп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был больше угла полного внутреннего отражения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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B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и находился в пределах от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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B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до 90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ru-RU"/>
              </w:rPr>
              <w:t>0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, а угол ввода луча в торец </w:t>
            </w:r>
            <w:proofErr w:type="spellStart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Ф укладывался в апертурный угол </w:t>
            </w:r>
            <w:r w:rsidRPr="007650EC"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</w:t>
            </w:r>
            <w:r w:rsidRPr="007650EC">
              <w:rPr>
                <w:rFonts w:ascii="Arial" w:eastAsia="Times New Roman" w:hAnsi="Arial" w:cs="Arial"/>
                <w:sz w:val="20"/>
                <w:szCs w:val="20"/>
                <w:vertAlign w:val="subscript"/>
                <w:lang w:eastAsia="ru-RU"/>
              </w:rPr>
              <w:t>a</w:t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(</w:t>
            </w:r>
            <w:r>
              <w:rPr>
                <w:rFonts w:ascii="Arial" w:eastAsia="Times New Roman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5F6A603" wp14:editId="124BA5B9">
                  <wp:extent cx="543560" cy="276225"/>
                  <wp:effectExtent l="0" t="0" r="8890" b="9525"/>
                  <wp:docPr id="1" name="Рисунок 1" descr="http://elib.kstu.kz/fulltext/!!!books/%D0%9B%D0%B8%D0%BD%D0%B8%D0%B8%20%D1%81%D0%B2%D1%8F%D0%B7%D0%B8/formulas/30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elib.kstu.kz/fulltext/!!!books/%D0%9B%D0%B8%D0%BD%D0%B8%D0%B8%20%D1%81%D0%B2%D1%8F%D0%B7%D0%B8/formulas/30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356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650EC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</w:t>
            </w:r>
          </w:p>
          <w:tbl>
            <w:tblPr>
              <w:tblW w:w="475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841"/>
            </w:tblGrid>
            <w:tr w:rsidR="00BF00D7" w:rsidRPr="00BF00D7" w:rsidTr="00BF00D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BF00D7" w:rsidRPr="00BF00D7" w:rsidRDefault="00BF00D7" w:rsidP="00BF00D7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6699FF"/>
                      <w:sz w:val="36"/>
                      <w:szCs w:val="36"/>
                      <w:lang w:eastAsia="ru-RU"/>
                    </w:rPr>
                  </w:pPr>
                  <w:r w:rsidRPr="00BF00D7">
                    <w:rPr>
                      <w:rFonts w:ascii="Arial" w:eastAsia="Times New Roman" w:hAnsi="Arial" w:cs="Arial"/>
                      <w:b/>
                      <w:bCs/>
                      <w:color w:val="6699FF"/>
                      <w:sz w:val="36"/>
                      <w:szCs w:val="36"/>
                      <w:lang w:eastAsia="ru-RU"/>
                    </w:rPr>
                    <w:t xml:space="preserve">4.5 Типы волн (моды) в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b/>
                      <w:bCs/>
                      <w:color w:val="6699FF"/>
                      <w:sz w:val="36"/>
                      <w:szCs w:val="36"/>
                      <w:lang w:eastAsia="ru-RU"/>
                    </w:rPr>
                    <w:t>световоде</w:t>
                  </w:r>
                  <w:proofErr w:type="spellEnd"/>
                </w:p>
              </w:tc>
            </w:tr>
            <w:tr w:rsidR="00BF00D7" w:rsidRPr="00BF00D7" w:rsidTr="00BF00D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BF00D7" w:rsidRPr="00BF00D7" w:rsidRDefault="00BF00D7" w:rsidP="00BF00D7">
                  <w:p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По волоконному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световоду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может распространяться большое число волн различных типов. С увеличением диаметра сердечника и уменьшением длины волны число мод резко возрастает.</w:t>
                  </w:r>
                </w:p>
                <w:p w:rsidR="00BF00D7" w:rsidRPr="00BF00D7" w:rsidRDefault="00BF00D7" w:rsidP="00BF00D7">
                  <w:p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lastRenderedPageBreak/>
                    <w:t>На рис. 4.13, а видно, что при </w:t>
                  </w:r>
                  <w:r>
                    <w:rPr>
                      <w:rFonts w:ascii="Arial" w:eastAsia="Times New Roman" w:hAnsi="Arial" w:cs="Arial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7B215B95" wp14:editId="49C357DE">
                        <wp:extent cx="440055" cy="198120"/>
                        <wp:effectExtent l="0" t="0" r="0" b="0"/>
                        <wp:docPr id="27" name="Рисунок 27" descr="http://elib.kstu.kz/fulltext/!!!books/%D0%9B%D0%B8%D0%BD%D0%B8%D0%B8%20%D1%81%D0%B2%D1%8F%D0%B7%D0%B8/formulas/309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elib.kstu.kz/fulltext/!!!books/%D0%9B%D0%B8%D0%BD%D0%B8%D0%B8%20%D1%81%D0%B2%D1%8F%D0%B7%D0%B8/formulas/309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0055" cy="1981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 в поперечном сердечнике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световода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укладывается лишь одна волна. Это соответствует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одномодовой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передаче (например, E</w:t>
                  </w:r>
                  <w:r w:rsidRPr="00BF00D7">
                    <w:rPr>
                      <w:rFonts w:ascii="Arial" w:eastAsia="Times New Roman" w:hAnsi="Arial" w:cs="Arial"/>
                      <w:sz w:val="20"/>
                      <w:szCs w:val="20"/>
                      <w:vertAlign w:val="subscript"/>
                      <w:lang w:eastAsia="ru-RU"/>
                    </w:rPr>
                    <w:t>01</w:t>
                  </w: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). На рис. 4.13,6 показана передача с большим числом волн, здесь d&gt;</w:t>
                  </w:r>
                  <w:r w:rsidRPr="00BF00D7">
                    <w:rPr>
                      <w:rFonts w:ascii="Symbol" w:eastAsia="Times New Roman" w:hAnsi="Symbol" w:cs="Arial"/>
                      <w:sz w:val="24"/>
                      <w:szCs w:val="24"/>
                      <w:lang w:eastAsia="ru-RU"/>
                    </w:rPr>
                    <w:t></w:t>
                  </w: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 и в сечении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световода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укладывается три волны (Е</w:t>
                  </w:r>
                  <w:r w:rsidRPr="00BF00D7">
                    <w:rPr>
                      <w:rFonts w:ascii="Arial" w:eastAsia="Times New Roman" w:hAnsi="Arial" w:cs="Arial"/>
                      <w:sz w:val="20"/>
                      <w:szCs w:val="20"/>
                      <w:vertAlign w:val="subscript"/>
                      <w:lang w:eastAsia="ru-RU"/>
                    </w:rPr>
                    <w:t>03</w:t>
                  </w: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). В настоящее время принято при длинах волн (</w:t>
                  </w:r>
                  <w:r w:rsidRPr="00BF00D7">
                    <w:rPr>
                      <w:rFonts w:ascii="Symbol" w:eastAsia="Times New Roman" w:hAnsi="Symbol" w:cs="Arial"/>
                      <w:sz w:val="24"/>
                      <w:szCs w:val="24"/>
                      <w:lang w:eastAsia="ru-RU"/>
                    </w:rPr>
                    <w:t></w:t>
                  </w: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= 0,8-1,6) применять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световоды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с диаметром сердечника d =5-8 мм для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одномодовой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передачи и d=50 мм для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многомодовой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передачи.</w:t>
                  </w:r>
                </w:p>
                <w:p w:rsidR="00BF00D7" w:rsidRPr="00BF00D7" w:rsidRDefault="00BF00D7" w:rsidP="00BF00D7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660EB97C" wp14:editId="5DEEC215">
                        <wp:extent cx="3329940" cy="1889125"/>
                        <wp:effectExtent l="0" t="0" r="3810" b="0"/>
                        <wp:docPr id="26" name="Рисунок 26" descr="http://elib.kstu.kz/fulltext/!!!books/%D0%9B%D0%B8%D0%BD%D0%B8%D0%B8%20%D1%81%D0%B2%D1%8F%D0%B7%D0%B8/pictures/pic4.3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elib.kstu.kz/fulltext/!!!books/%D0%9B%D0%B8%D0%BD%D0%B8%D0%B8%20%D1%81%D0%B2%D1%8F%D0%B7%D0%B8/pictures/pic4.3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29940" cy="18891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F00D7" w:rsidRPr="00BF00D7" w:rsidRDefault="00BF00D7" w:rsidP="00BF00D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BF00D7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 xml:space="preserve">Рисунок 4.13. –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>Одномодовая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 xml:space="preserve"> (а) и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>многомодовая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 xml:space="preserve"> (б) передача</w:t>
                  </w:r>
                </w:p>
                <w:p w:rsidR="00BF00D7" w:rsidRPr="00BF00D7" w:rsidRDefault="00BF00D7" w:rsidP="00BF00D7">
                  <w:p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Число мод можно определить примерно по формуле:</w:t>
                  </w:r>
                </w:p>
                <w:p w:rsidR="00BF00D7" w:rsidRPr="00BF00D7" w:rsidRDefault="00BF00D7" w:rsidP="00BF00D7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2B987905" wp14:editId="1367830B">
                        <wp:extent cx="2182495" cy="543560"/>
                        <wp:effectExtent l="0" t="0" r="8255" b="8890"/>
                        <wp:docPr id="25" name="Рисунок 25" descr="http://elib.kstu.kz/fulltext/!!!books/%D0%9B%D0%B8%D0%BD%D0%B8%D0%B8%20%D1%81%D0%B2%D1%8F%D0%B7%D0%B8/formulas/31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elib.kstu.kz/fulltext/!!!books/%D0%9B%D0%B8%D0%BD%D0%B8%D0%B8%20%D1%81%D0%B2%D1%8F%D0%B7%D0%B8/formulas/31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82495" cy="5435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F00D7" w:rsidRPr="00BF00D7" w:rsidRDefault="00BF00D7" w:rsidP="00BF00D7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br/>
                    <w:t>где </w:t>
                  </w:r>
                  <w:r w:rsidRPr="00BF00D7">
                    <w:rPr>
                      <w:rFonts w:ascii="Symbol" w:eastAsia="Times New Roman" w:hAnsi="Symbol" w:cs="Arial"/>
                      <w:sz w:val="24"/>
                      <w:szCs w:val="24"/>
                      <w:lang w:eastAsia="ru-RU"/>
                    </w:rPr>
                    <w:t></w:t>
                  </w: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=(n</w:t>
                  </w:r>
                  <w:r w:rsidRPr="00BF00D7">
                    <w:rPr>
                      <w:rFonts w:ascii="Arial" w:eastAsia="Times New Roman" w:hAnsi="Arial" w:cs="Arial"/>
                      <w:sz w:val="20"/>
                      <w:szCs w:val="20"/>
                      <w:vertAlign w:val="subscript"/>
                      <w:lang w:eastAsia="ru-RU"/>
                    </w:rPr>
                    <w:t>2</w:t>
                  </w: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—n</w:t>
                  </w:r>
                  <w:r w:rsidRPr="00BF00D7">
                    <w:rPr>
                      <w:rFonts w:ascii="Arial" w:eastAsia="Times New Roman" w:hAnsi="Arial" w:cs="Arial"/>
                      <w:sz w:val="20"/>
                      <w:szCs w:val="20"/>
                      <w:vertAlign w:val="subscript"/>
                      <w:lang w:eastAsia="ru-RU"/>
                    </w:rPr>
                    <w:t>2</w:t>
                  </w: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)/ n</w:t>
                  </w:r>
                  <w:r w:rsidRPr="00BF00D7">
                    <w:rPr>
                      <w:rFonts w:ascii="Arial" w:eastAsia="Times New Roman" w:hAnsi="Arial" w:cs="Arial"/>
                      <w:sz w:val="20"/>
                      <w:szCs w:val="20"/>
                      <w:vertAlign w:val="subscript"/>
                      <w:lang w:eastAsia="ru-RU"/>
                    </w:rPr>
                    <w:t>2</w:t>
                  </w: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 обычно имеет значение 0,01—0,003.</w:t>
                  </w:r>
                </w:p>
                <w:p w:rsidR="00BF00D7" w:rsidRPr="00BF00D7" w:rsidRDefault="00BF00D7" w:rsidP="00BF00D7">
                  <w:p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По числу мод принята примерно следующая классификация: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одномодовые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N=1 (волна НЕ</w:t>
                  </w:r>
                  <w:r w:rsidRPr="00BF00D7">
                    <w:rPr>
                      <w:rFonts w:ascii="Arial" w:eastAsia="Times New Roman" w:hAnsi="Arial" w:cs="Arial"/>
                      <w:sz w:val="20"/>
                      <w:szCs w:val="20"/>
                      <w:vertAlign w:val="subscript"/>
                      <w:lang w:eastAsia="ru-RU"/>
                    </w:rPr>
                    <w:t>11</w:t>
                  </w: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) при </w:t>
                  </w:r>
                  <w:r>
                    <w:rPr>
                      <w:rFonts w:ascii="Arial" w:eastAsia="Times New Roman" w:hAnsi="Arial" w:cs="Arial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051B08C1" wp14:editId="792B79B9">
                        <wp:extent cx="440055" cy="198120"/>
                        <wp:effectExtent l="0" t="0" r="0" b="0"/>
                        <wp:docPr id="24" name="Рисунок 24" descr="http://elib.kstu.kz/fulltext/!!!books/%D0%9B%D0%B8%D0%BD%D0%B8%D0%B8%20%D1%81%D0%B2%D1%8F%D0%B7%D0%B8/formulas/309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elib.kstu.kz/fulltext/!!!books/%D0%9B%D0%B8%D0%BD%D0%B8%D0%B8%20%D1%81%D0%B2%D1%8F%D0%B7%D0%B8/formulas/309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0055" cy="1981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;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многомодовыеN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&gt;1 при d&gt;</w:t>
                  </w:r>
                  <w:r w:rsidRPr="00BF00D7">
                    <w:rPr>
                      <w:rFonts w:ascii="Symbol" w:eastAsia="Times New Roman" w:hAnsi="Symbol" w:cs="Arial"/>
                      <w:sz w:val="24"/>
                      <w:szCs w:val="24"/>
                      <w:lang w:eastAsia="ru-RU"/>
                    </w:rPr>
                    <w:t></w:t>
                  </w: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BF00D7" w:rsidRPr="00BF00D7" w:rsidRDefault="00BF00D7" w:rsidP="00BF00D7">
                  <w:p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Отсюда видно, что при сравнительно больших сердечниках (d&gt;</w:t>
                  </w:r>
                  <w:r w:rsidRPr="00BF00D7">
                    <w:rPr>
                      <w:rFonts w:ascii="Symbol" w:eastAsia="Times New Roman" w:hAnsi="Symbol" w:cs="Arial"/>
                      <w:sz w:val="24"/>
                      <w:szCs w:val="24"/>
                      <w:lang w:eastAsia="ru-RU"/>
                    </w:rPr>
                    <w:t></w:t>
                  </w: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)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световод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работает в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многомодовом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режиме, а при соизмеримых с длиной волны (</w:t>
                  </w:r>
                  <w:r>
                    <w:rPr>
                      <w:rFonts w:ascii="Arial" w:eastAsia="Times New Roman" w:hAnsi="Arial" w:cs="Arial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13E9B575" wp14:editId="07E2F7BD">
                        <wp:extent cx="440055" cy="198120"/>
                        <wp:effectExtent l="0" t="0" r="0" b="0"/>
                        <wp:docPr id="23" name="Рисунок 23" descr="http://elib.kstu.kz/fulltext/!!!books/%D0%9B%D0%B8%D0%BD%D0%B8%D0%B8%20%D1%81%D0%B2%D1%8F%D0%B7%D0%B8/formulas/309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://elib.kstu.kz/fulltext/!!!books/%D0%9B%D0%B8%D0%BD%D0%B8%D0%B8%20%D1%81%D0%B2%D1%8F%D0%B7%D0%B8/formulas/309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0055" cy="1981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) в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одномодовом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BF00D7" w:rsidRPr="00BF00D7" w:rsidRDefault="00BF00D7" w:rsidP="00BF00D7">
                  <w:p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Достоинством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одномодовых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систем является весьма широкий диапазон частот и большая пропускная способность. Однако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одномодовые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системы из-за малого диаметра сердечника волокна менее надежны и имеют большие потери на вводе в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световод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, поэтому они требуют мощных когерентных источников с узкой диаграммой направленности, т. е. квантовых генераторов. Для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многомодовых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систем можно использовать простейшие некогерентные источники излучения — светодиоды, имеющие малую мощность и меньшую пропускную способность.</w:t>
                  </w:r>
                </w:p>
                <w:p w:rsidR="00BF00D7" w:rsidRPr="00BF00D7" w:rsidRDefault="00BF00D7" w:rsidP="00BF00D7">
                  <w:p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По волоконным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световодам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возможна передача двух видов лучей: меридиональных и косых. Меридиональные лучи расположены в плоскости, проходящей через ось волоконного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световода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. Косые лучи не пересекают ось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световода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. Если точечный источник излучения расположен на оси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световода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, то имеются только меридиональные лучи. Если же точечный </w:t>
                  </w: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lastRenderedPageBreak/>
                    <w:t xml:space="preserve">источник расположен вне оси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световода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 или имеется сложный источник, то появляются одновременно как меридиональные, так и косые лучи.</w:t>
                  </w:r>
                </w:p>
                <w:p w:rsidR="00BF00D7" w:rsidRPr="00BF00D7" w:rsidRDefault="00BF00D7" w:rsidP="00BF00D7">
                  <w:pPr>
                    <w:spacing w:before="100" w:beforeAutospacing="1" w:after="100" w:afterAutospacing="1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Меридиональным лучам соответствуют симметричные волны (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E</w:t>
                  </w:r>
                  <w:r w:rsidRPr="00BF00D7">
                    <w:rPr>
                      <w:rFonts w:ascii="Arial" w:eastAsia="Times New Roman" w:hAnsi="Arial" w:cs="Arial"/>
                      <w:sz w:val="20"/>
                      <w:szCs w:val="20"/>
                      <w:vertAlign w:val="subscript"/>
                      <w:lang w:eastAsia="ru-RU"/>
                    </w:rPr>
                    <w:t>Оm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spellStart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Н</w:t>
                  </w:r>
                  <w:r w:rsidRPr="00BF00D7">
                    <w:rPr>
                      <w:rFonts w:ascii="Arial" w:eastAsia="Times New Roman" w:hAnsi="Arial" w:cs="Arial"/>
                      <w:sz w:val="20"/>
                      <w:szCs w:val="20"/>
                      <w:vertAlign w:val="subscript"/>
                      <w:lang w:eastAsia="ru-RU"/>
                    </w:rPr>
                    <w:t>Оm</w:t>
                  </w:r>
                  <w:proofErr w:type="spellEnd"/>
                  <w:r w:rsidRPr="00BF00D7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), косым - несимметричные.</w:t>
                  </w:r>
                </w:p>
              </w:tc>
            </w:tr>
          </w:tbl>
          <w:p w:rsidR="00BF00D7" w:rsidRPr="007650EC" w:rsidRDefault="00BF00D7" w:rsidP="007650E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840F33" w:rsidRPr="00840F33" w:rsidTr="00840F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 xml:space="preserve">4.6 Затухание 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волоконных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световодов</w:t>
            </w:r>
            <w:proofErr w:type="spellEnd"/>
          </w:p>
        </w:tc>
      </w:tr>
      <w:tr w:rsidR="00840F33" w:rsidRPr="00840F33" w:rsidTr="00840F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Волоконные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световоды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характеризуются двумя важнейшими параметрами: затуханием и дисперсией.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Затухание предопределяет длину регенерационных участков (расстояние между регенераторами). Дисперсия приводит к искажению импульсов и ограничению полосы передачи по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световоду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Коэффициент затухания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световодных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трактов оптических кабелей, а обусловлен собственными потерями в волоконных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световодах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ac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и дополнительными потерями, так называемыми кабельными </w:t>
            </w:r>
            <w:proofErr w:type="spellStart"/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, вызванными деформацией и изгибами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световодов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при наложении покрытий и защитных оболочек в процессе изготовления оптического кабеля: a = 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ac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+ 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aк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Собственные потери волоконных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световодов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состоят в первую очередь из потерь поглощения </w:t>
            </w:r>
            <w:proofErr w:type="spellStart"/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и потерь рассеяния 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aр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 Потери на поглощение существенно зависят от чистоты материала и при наличии посторонних примесей могут достигать значительной величины: </w:t>
            </w:r>
            <w:proofErr w:type="spellStart"/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+ 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aпр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Потери на рассеяние лимитируют предел минимально достижимых значений потерь 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волоконных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световодах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 результате: 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ac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= </w:t>
            </w:r>
            <w:proofErr w:type="spellStart"/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+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aр+aпр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Затухание за счет поглощения ап связано с потерями на диэлектрическую поляризацию, линейно растет с частотой и существенно зависит от свойств материала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tgd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Потери обусловлены комплексным характером показателя преломления n = </w:t>
            </w:r>
            <w:proofErr w:type="spellStart"/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n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д+jnм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, который связан с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tgd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выражением: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drawing>
                <wp:inline distT="0" distB="0" distL="0" distR="0">
                  <wp:extent cx="1923415" cy="301625"/>
                  <wp:effectExtent l="0" t="0" r="635" b="3175"/>
                  <wp:docPr id="31" name="Рисунок 31" descr="http://elib.kstu.kz/fulltext/!!!books/%D0%9B%D0%B8%D0%BD%D0%B8%D0%B8%20%D1%81%D0%B2%D1%8F%D0%B7%D0%B8/formulas/31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elib.kstu.kz/fulltext/!!!books/%D0%9B%D0%B8%D0%BD%D0%B8%D0%B8%20%D1%81%D0%B2%D1%8F%D0%B7%D0%B8/formulas/31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3415" cy="30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Затухание за счет поглощения определяется по формуле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=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pn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tg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d/l       (4.7)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где </w:t>
            </w: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drawing>
                <wp:inline distT="0" distB="0" distL="0" distR="0">
                  <wp:extent cx="638175" cy="259080"/>
                  <wp:effectExtent l="0" t="0" r="9525" b="7620"/>
                  <wp:docPr id="30" name="Рисунок 30" descr="http://elib.kstu.kz/fulltext/!!!books/%D0%9B%D0%B8%D0%BD%D0%B8%D0%B8%20%D1%81%D0%B2%D1%8F%D0%B7%D0%B8/formulas/3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elib.kstu.kz/fulltext/!!!books/%D0%9B%D0%B8%D0%BD%D0%B8%D0%B8%20%D1%81%D0%B2%D1%8F%D0%B7%D0%B8/formulas/3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— показатель преломления; l — длина волны;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tgd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- тангенс угла диэлектрических потерь в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световоде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Из формулы видно, что частотная зависимость затухания поглощения имеет линейный характер.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Рассеяние обусловлено неоднородностями материала волоконного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размеры которых меньше длины волны, и тепловой флуктуацией показателя преломления.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Потери на рассеяние определяются по формуле: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a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=Kрa-4,       (4.8)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 xml:space="preserve">где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Kр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=1,5 мкм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(для кварца); a - длина волны, мкм.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Это рассеяние является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рэлеевским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Оно растет с частотой по закону f4. Потери на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рэлеевское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рассеяние определяют нижний предел потерь, присущих 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волоконным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световодам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 Этот предел различен для разных волн и с увеличением длины волны уменьшается.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На рис. 4.9 представлены частотные зависимости коэффициента затухания волоконного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 Из представленных данных видно, что потери на поглощение растут линейно с увеличением частоты, а потери на рассеяние существенно быстрей — по закону f4.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drawing>
                <wp:inline distT="0" distB="0" distL="0" distR="0">
                  <wp:extent cx="3329940" cy="2087880"/>
                  <wp:effectExtent l="0" t="0" r="3810" b="7620"/>
                  <wp:docPr id="29" name="Рисунок 29" descr="http://elib.kstu.kz/fulltext/!!!books/%D0%9B%D0%B8%D0%BD%D0%B8%D0%B8%20%D1%81%D0%B2%D1%8F%D0%B7%D0%B8/pictures/pic4.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elib.kstu.kz/fulltext/!!!books/%D0%9B%D0%B8%D0%BD%D0%B8%D0%B8%20%D1%81%D0%B2%D1%8F%D0%B7%D0%B8/pictures/pic4.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9940" cy="2087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Рисунок 4.9. – Частотная зависимость затухания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Потери энергии существенно возрастают за счет наличия в материале волоконного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посторонних примесей (</w:t>
            </w:r>
            <w:proofErr w:type="spellStart"/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a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пр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), таких как ионы гидроксильной группы или металлов. В области резонансов собственных колебаний ионов примесей обычно имеются всплески затухания. За счет ионов гидроксильных групп чаще всего происходит всплеск затухания на волне 0,95 мкм.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На рис. 4.10 показано изменение затухания волоконного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в зависимости от длины волны для кварцевого стекла, очищенного от посторонних примесей. На графике четко видны три окна прозрачности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причем с увеличением длины волны коэффициент затухания снижается и соответственно увеличивается длина регенерационного участка (табл. 4.1).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Таблица 4,1</w:t>
            </w:r>
          </w:p>
          <w:tbl>
            <w:tblPr>
              <w:tblW w:w="0" w:type="auto"/>
              <w:jc w:val="center"/>
              <w:tblCellSpacing w:w="15" w:type="dxa"/>
              <w:tblBorders>
                <w:top w:val="outset" w:sz="18" w:space="0" w:color="auto"/>
                <w:left w:val="outset" w:sz="18" w:space="0" w:color="auto"/>
                <w:bottom w:val="outset" w:sz="18" w:space="0" w:color="auto"/>
                <w:right w:val="outset" w:sz="18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97"/>
              <w:gridCol w:w="957"/>
              <w:gridCol w:w="626"/>
            </w:tblGrid>
            <w:tr w:rsidR="00840F33" w:rsidRPr="00840F33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40F33" w:rsidRPr="00840F33" w:rsidRDefault="00840F33" w:rsidP="00840F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40F33">
                    <w:rPr>
                      <w:rFonts w:ascii="Symbol" w:eastAsia="Times New Roman" w:hAnsi="Symbol" w:cs="Times New Roman"/>
                      <w:sz w:val="24"/>
                      <w:szCs w:val="24"/>
                      <w:lang w:eastAsia="ru-RU"/>
                    </w:rPr>
                    <w:t></w:t>
                  </w:r>
                  <w:r w:rsidRPr="00840F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  <w:proofErr w:type="gramStart"/>
                  <w:r w:rsidRPr="00840F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мкм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40F33" w:rsidRPr="00840F33" w:rsidRDefault="00840F33" w:rsidP="00840F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40F33">
                    <w:rPr>
                      <w:rFonts w:ascii="Symbol" w:eastAsia="Times New Roman" w:hAnsi="Symbol" w:cs="Times New Roman"/>
                      <w:sz w:val="24"/>
                      <w:szCs w:val="24"/>
                      <w:lang w:eastAsia="ru-RU"/>
                    </w:rPr>
                    <w:t></w:t>
                  </w:r>
                  <w:r w:rsidRPr="00840F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 дБ/км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40F33" w:rsidRPr="00840F33" w:rsidRDefault="00840F33" w:rsidP="00840F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840F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l</w:t>
                  </w:r>
                  <w:r w:rsidRPr="00840F33">
                    <w:rPr>
                      <w:rFonts w:ascii="Times New Roman" w:eastAsia="Times New Roman" w:hAnsi="Times New Roman" w:cs="Times New Roman"/>
                      <w:sz w:val="20"/>
                      <w:szCs w:val="20"/>
                      <w:vertAlign w:val="subscript"/>
                      <w:lang w:eastAsia="ru-RU"/>
                    </w:rPr>
                    <w:t>p</w:t>
                  </w:r>
                  <w:proofErr w:type="spellEnd"/>
                  <w:r w:rsidRPr="00840F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 км</w:t>
                  </w:r>
                </w:p>
              </w:tc>
            </w:tr>
            <w:tr w:rsidR="00840F33" w:rsidRPr="00840F33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40F33" w:rsidRPr="00840F33" w:rsidRDefault="00840F33" w:rsidP="00840F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40F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0,85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40F33" w:rsidRPr="00840F33" w:rsidRDefault="00840F33" w:rsidP="00840F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40F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40F33" w:rsidRPr="00840F33" w:rsidRDefault="00840F33" w:rsidP="00840F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40F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</w:tr>
            <w:tr w:rsidR="00840F33" w:rsidRPr="00840F33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40F33" w:rsidRPr="00840F33" w:rsidRDefault="00840F33" w:rsidP="00840F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40F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1,3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40F33" w:rsidRPr="00840F33" w:rsidRDefault="00840F33" w:rsidP="00840F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40F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40F33" w:rsidRPr="00840F33" w:rsidRDefault="00840F33" w:rsidP="00840F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40F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40</w:t>
                  </w:r>
                </w:p>
              </w:tc>
            </w:tr>
            <w:tr w:rsidR="00840F33" w:rsidRPr="00840F33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40F33" w:rsidRPr="00840F33" w:rsidRDefault="00840F33" w:rsidP="00840F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40F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1,55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40F33" w:rsidRPr="00840F33" w:rsidRDefault="00840F33" w:rsidP="00840F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40F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0,5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40F33" w:rsidRPr="00840F33" w:rsidRDefault="00840F33" w:rsidP="00840F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40F3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80</w:t>
                  </w:r>
                </w:p>
              </w:tc>
            </w:tr>
          </w:tbl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4037330" cy="3450590"/>
                  <wp:effectExtent l="0" t="0" r="1270" b="0"/>
                  <wp:docPr id="28" name="Рисунок 28" descr="http://elib.kstu.kz/fulltext/!!!books/%D0%9B%D0%B8%D0%BD%D0%B8%D0%B8%20%D1%81%D0%B2%D1%8F%D0%B7%D0%B8/pictures/pic4.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elib.kstu.kz/fulltext/!!!books/%D0%9B%D0%B8%D0%BD%D0%B8%D0%B8%20%D1%81%D0%B2%D1%8F%D0%B7%D0%B8/pictures/pic4.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7330" cy="3450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Рисунок 4.10. – Коэффициент затухания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при различных длинах волн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Отсюда видна явная целесообразность использования диапазона волн 1,3—1,55 мкм для работы по волоконно-оптическим линиям связи. Это открывает возможность организации междугородной связи без включения в оптический кабель металлических элементов для дистанционного электропитания линейных регенераторов, так как через 40—80 км можно иметь местные источники электропитания.</w:t>
            </w:r>
          </w:p>
        </w:tc>
      </w:tr>
      <w:tr w:rsidR="00840F33" w:rsidRPr="00840F33" w:rsidTr="00840F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 xml:space="preserve">4.7 Дисперсия и пропускная способность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световодов</w:t>
            </w:r>
            <w:proofErr w:type="spellEnd"/>
          </w:p>
        </w:tc>
      </w:tr>
      <w:tr w:rsidR="00840F33" w:rsidRPr="00840F33" w:rsidTr="00840F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Пропускная способность DF является важнейшим параметром волоконно-оптических систем передачи, предопределяющим ширину линейного тракта, полосу частот, пропускаемую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световодом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и, соответственно, объем информации, который можно передавать по оптическому кабелю.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В предельном, идеализированном варианте по 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волоконному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световоду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возможна организация огромного числа каналов на большие расстояния, а фактически имеются значительные ограничения. Это обусловлено тем, что сигнал на приемном конце приходит размытым, искаженным, и чем длинней линия, тем больше передаваемый сигнал искажается (рис. 4.14). Данное явление носит название дисперсии и обусловлено оно различием скорости распространения в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световоде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отдельных частотных составляющих спектра источника света.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3813175" cy="1362710"/>
                  <wp:effectExtent l="0" t="0" r="0" b="8890"/>
                  <wp:docPr id="44" name="Рисунок 44" descr="http://elib.kstu.kz/fulltext/!!!books/%D0%9B%D0%B8%D0%BD%D0%B8%D0%B8%20%D1%81%D0%B2%D1%8F%D0%B7%D0%B8/pictures/pic4.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elib.kstu.kz/fulltext/!!!books/%D0%9B%D0%B8%D0%BD%D0%B8%D0%B8%20%D1%81%D0%B2%D1%8F%D0%B7%D0%B8/pictures/pic4.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3175" cy="1362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Рисунок 4.14. – Уширение импульсов за счет дисперсии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Дисперсия t - это увеличение длительности импульса при прохождении по оптическому кабелю. Величина дисперсии определяется как квадратичная разность длительностей импульсов на выходе и входе кабеля, по формуле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drawing>
                <wp:inline distT="0" distB="0" distL="0" distR="0">
                  <wp:extent cx="1311275" cy="405130"/>
                  <wp:effectExtent l="0" t="0" r="3175" b="0"/>
                  <wp:docPr id="43" name="Рисунок 43" descr="http://elib.kstu.kz/fulltext/!!!books/%D0%9B%D0%B8%D0%BD%D0%B8%D0%B8%20%D1%81%D0%B2%D1%8F%D0%B7%D0%B8/formulas/16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elib.kstu.kz/fulltext/!!!books/%D0%9B%D0%B8%D0%BD%D0%B8%D0%B8%20%D1%81%D0%B2%D1%8F%D0%B7%D0%B8/formulas/16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1275" cy="405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 xml:space="preserve">Причем значения </w:t>
            </w:r>
            <w:proofErr w:type="spellStart"/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t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Вых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и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tВх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берутся на уровне половины амплитуды импульсов.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Связь между дисперсией и полосой частот, передаваемых по 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волоконному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световоду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приближенно выражается соотношением </w:t>
            </w: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drawing>
                <wp:inline distT="0" distB="0" distL="0" distR="0">
                  <wp:extent cx="560705" cy="440055"/>
                  <wp:effectExtent l="0" t="0" r="0" b="0"/>
                  <wp:docPr id="42" name="Рисунок 42" descr="http://elib.kstu.kz/fulltext/!!!books/%D0%9B%D0%B8%D0%BD%D0%B8%D0%B8%20%D1%81%D0%B2%D1%8F%D0%B7%D0%B8/formulas/16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elib.kstu.kz/fulltext/!!!books/%D0%9B%D0%B8%D0%BD%D0%B8%D0%B8%20%D1%81%D0%B2%D1%8F%D0%B7%D0%B8/formulas/16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705" cy="440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Так, если t = 20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</w:t>
            </w:r>
            <w:proofErr w:type="spellEnd"/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/км, то DF = 50 МГц-км.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Пропускная способность оптического кабеля существенно зависит от типа и 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свойств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волоконных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световодов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одномодовые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многомодовые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градиентные), а также от типа излучателя (лазер, светодиод). Дисперсия возникает по двум причинам: не когерентность источников излучения 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Dl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и существование большого числа мод N.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Не когерентность излучения приводит к появлению спектра 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Dl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, их хроматической (частотной) дисперсии. Хроматическая дисперсия делится на 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материальную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и волноводную (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внутримодовую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).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Волноводная дисперсия связана с зависимостью коэффициента распространения от длины волны [g=y1(l)] Материальная дисперсия обусловлена зависимостью n от l, т. е. [n =y2(l)].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Модовая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дисперсия обусловлена наличием большого числа мод, каждая из которых распространяется со своей скоростью [u=y3(l)]. Эти дисперсии проявляются по-разному в различных типах волноводных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световодов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В ступенчатых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световодах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при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многомодовой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передаче доминирует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модовая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дисперсия, достигающая больших значений (20-50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c</w:t>
            </w:r>
            <w:proofErr w:type="spellEnd"/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/км). В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одномодовых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ступенчатых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световодах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отсутствует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модовая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дисперсия. Здесь проявляются волноводная и материальная дисперсии, но они почти равны по абсолютной величине и противоположны по фазе в широком спектральном диапазоне. Поэтому происходит их взаимная компенсация и результирующая дисперсия при l. = 1,2-1,7 мкм не превышает 3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нс</w:t>
            </w:r>
            <w:proofErr w:type="spellEnd"/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/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м. 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градиентных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световодах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происходит </w:t>
            </w: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 xml:space="preserve">выравнивание времени распространения различных мод, и определяющей является материальная дисперсия, которая уменьшается с увеличением длины волны. По абсолютной величине она колеблется в пределах 3 - 5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нс</w:t>
            </w:r>
            <w:proofErr w:type="spellEnd"/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/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Сравнивая дисперсионные характеристики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световодов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, можно отметить, что лучшими данными обладают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одномодовые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световоды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Хорошие данные также у 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градиентных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световодов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с плавным изменением показателя преломления. Наиболее резко проявляется дисперсия у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многомодовых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световодов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Уширение импульса t за счет материальной дисперсии при распространении по 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волоконному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световоду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волны длиной l, с учетом не когерентности источников может быть определено по формуле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drawing>
                <wp:inline distT="0" distB="0" distL="0" distR="0">
                  <wp:extent cx="1397635" cy="474345"/>
                  <wp:effectExtent l="0" t="0" r="0" b="1905"/>
                  <wp:docPr id="41" name="Рисунок 41" descr="http://elib.kstu.kz/fulltext/!!!books/%D0%9B%D0%B8%D0%BD%D0%B8%D0%B8%20%D1%81%D0%B2%D1%8F%D0%B7%D0%B8/formulas/16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elib.kstu.kz/fulltext/!!!books/%D0%9B%D0%B8%D0%BD%D0%B8%D0%B8%20%D1%81%D0%B2%D1%8F%D0%B7%D0%B8/formulas/16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7635" cy="47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где 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Dl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/l - относительная ширина спектра излучения источника; l - длина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;</w:t>
            </w: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drawing>
                <wp:inline distT="0" distB="0" distL="0" distR="0">
                  <wp:extent cx="466090" cy="405130"/>
                  <wp:effectExtent l="0" t="0" r="0" b="0"/>
                  <wp:docPr id="40" name="Рисунок 40" descr="http://elib.kstu.kz/fulltext/!!!books/%D0%9B%D0%B8%D0%BD%D0%B8%D0%B8%20%D1%81%D0%B2%D1%8F%D0%B7%D0%B8/formulas/16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elib.kstu.kz/fulltext/!!!books/%D0%9B%D0%B8%D0%BD%D0%B8%D0%B8%20%D1%81%D0%B2%D1%8F%D0%B7%D0%B8/formulas/16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090" cy="405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- материальная дисперсия.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Отсюда видно, что материальная дисперсия зависит от длины волны и обусловлена частотной зависимостью показателя преломления.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Величина уширения импульса за счет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модовой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дисперсии, характеризуемая временем нарастания сигнала и определяемая как разность между самым большим и самым малым временем прихода лучей в сечении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на расстоянии l от начала, может быть рассчитана по формулам: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drawing>
                <wp:inline distT="0" distB="0" distL="0" distR="0">
                  <wp:extent cx="1337310" cy="534670"/>
                  <wp:effectExtent l="0" t="0" r="0" b="0"/>
                  <wp:docPr id="39" name="Рисунок 39" descr="http://elib.kstu.kz/fulltext/!!!books/%D0%9B%D0%B8%D0%BD%D0%B8%D0%B8%20%D1%81%D0%B2%D1%8F%D0%B7%D0%B8/formulas/16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elib.kstu.kz/fulltext/!!!books/%D0%9B%D0%B8%D0%BD%D0%B8%D0%B8%20%D1%81%D0%B2%D1%8F%D0%B7%D0%B8/formulas/16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7310" cy="534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 xml:space="preserve">- для ступенчатого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;</w:t>
            </w: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drawing>
                <wp:inline distT="0" distB="0" distL="0" distR="0">
                  <wp:extent cx="1268095" cy="474345"/>
                  <wp:effectExtent l="0" t="0" r="8255" b="1905"/>
                  <wp:docPr id="38" name="Рисунок 38" descr="http://elib.kstu.kz/fulltext/!!!books/%D0%9B%D0%B8%D0%BD%D0%B8%D0%B8%20%D1%81%D0%B2%D1%8F%D0%B7%D0%B8/formulas/16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elib.kstu.kz/fulltext/!!!books/%D0%9B%D0%B8%D0%BD%D0%B8%D0%B8%20%D1%81%D0%B2%D1%8F%D0%B7%D0%B8/formulas/16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8095" cy="47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 xml:space="preserve">- для градиентного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, где NA - числовая апертура, </w:t>
            </w: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drawing>
                <wp:inline distT="0" distB="0" distL="0" distR="0">
                  <wp:extent cx="2199640" cy="267335"/>
                  <wp:effectExtent l="0" t="0" r="0" b="0"/>
                  <wp:docPr id="37" name="Рисунок 37" descr="http://elib.kstu.kz/fulltext/!!!books/%D0%9B%D0%B8%D0%BD%D0%B8%D0%B8%20%D1%81%D0%B2%D1%8F%D0%B7%D0%B8/formulas/16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elib.kstu.kz/fulltext/!!!books/%D0%9B%D0%B8%D0%BD%D0%B8%D0%B8%20%D1%81%D0%B2%D1%8F%D0%B7%D0%B8/formulas/16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9640" cy="267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- показатель преломления сердечника;n2 - показатель преломления оболочки; l - длина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; 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скорость света. Соответственно, пропускная способность градиентного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в 2/</w:t>
            </w:r>
            <w:proofErr w:type="spellStart"/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D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раз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выше, чем у ступенчатого при одинаковом значении D. Учитывая, что, как правило, величина </w:t>
            </w: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drawing>
                <wp:inline distT="0" distB="0" distL="0" distR="0">
                  <wp:extent cx="422910" cy="155575"/>
                  <wp:effectExtent l="0" t="0" r="0" b="0"/>
                  <wp:docPr id="36" name="Рисунок 36" descr="http://elib.kstu.kz/fulltext/!!!books/%D0%9B%D0%B8%D0%BD%D0%B8%D0%B8%20%D1%81%D0%B2%D1%8F%D0%B7%D0%B8/formulas/16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elib.kstu.kz/fulltext/!!!books/%D0%9B%D0%B8%D0%BD%D0%B8%D0%B8%20%D1%81%D0%B2%D1%8F%D0%B7%D0%B8/formulas/16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910" cy="155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,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различие пропускной способности указанных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световодов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может достигать двух порядков.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Частотная полоса пропускания существующих конструкций оптических кабелей колеблется в широких пределах и составляет от 30 до 1000 МГц-км. Она неодинакова для различных типов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световодов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Для градиентных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световодов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с лазерным источником света частотная „ полоса составляет 100 - 250 МГц-км. В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многомодовых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световодах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она сужается до 30 МГц-км. Наивысшей пропускной </w:t>
            </w: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 xml:space="preserve">способностью обладают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одномодовые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световоды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. У них полоса пропускания достигает 0,5 - 1 ГГц-км.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Рассмотренное выше явление дисперсии приводит как к ограничению пропускной способности оптических кабелей, так и к снижению дальности передачи по ним, так как чем длиннее линия, тем больше проявляется дисперсия и больше уширение импульса. Эти параметры - полоса частот DF и дальность передачи l взаимосвязаны. Соотношение между ними выражается формулой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drawing>
                <wp:inline distT="0" distB="0" distL="0" distR="0">
                  <wp:extent cx="1380490" cy="293370"/>
                  <wp:effectExtent l="0" t="0" r="0" b="0"/>
                  <wp:docPr id="35" name="Рисунок 35" descr="http://elib.kstu.kz/fulltext/!!!books/%D0%9B%D0%B8%D0%BD%D0%B8%D0%B8%20%D1%81%D0%B2%D1%8F%D0%B7%D0%B8/formulas/16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elib.kstu.kz/fulltext/!!!books/%D0%9B%D0%B8%D0%BD%D0%B8%D0%B8%20%D1%81%D0%B2%D1%8F%D0%B7%D0%B8/formulas/16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0490" cy="293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       (4.11)</w:t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где значения с индексом х - искомые, а без него - заданные. Соответственно </w:t>
            </w: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drawing>
                <wp:inline distT="0" distB="0" distL="0" distR="0">
                  <wp:extent cx="948690" cy="250190"/>
                  <wp:effectExtent l="0" t="0" r="3810" b="0"/>
                  <wp:docPr id="34" name="Рисунок 34" descr="http://elib.kstu.kz/fulltext/!!!books/%D0%9B%D0%B8%D0%BD%D0%B8%D0%B8%20%D1%81%D0%B2%D1%8F%D0%B7%D0%B8/formulas/16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elib.kstu.kz/fulltext/!!!books/%D0%9B%D0%B8%D0%BD%D0%B8%D0%B8%20%D1%81%D0%B2%D1%8F%D0%B7%D0%B8/formulas/16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690" cy="250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и </w:t>
            </w: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drawing>
                <wp:inline distT="0" distB="0" distL="0" distR="0">
                  <wp:extent cx="1035050" cy="259080"/>
                  <wp:effectExtent l="0" t="0" r="0" b="7620"/>
                  <wp:docPr id="33" name="Рисунок 33" descr="http://elib.kstu.kz/fulltext/!!!books/%D0%9B%D0%B8%D0%BD%D0%B8%D0%B8%20%D1%81%D0%B2%D1%8F%D0%B7%D0%B8/formulas/17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elib.kstu.kz/fulltext/!!!books/%D0%9B%D0%B8%D0%BD%D0%B8%D0%B8%20%D1%81%D0%B2%D1%8F%D0%B7%D0%B8/formulas/17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Так, если кабельная промышленность поставляет кабель строительными длинами l=1 км с полосой пропускания DF = 50 МГц-км, то на участке линии длиной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lx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= 25 км полоса пропускания существенно сузится и составит </w:t>
            </w: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drawing>
                <wp:inline distT="0" distB="0" distL="0" distR="0">
                  <wp:extent cx="1466215" cy="241300"/>
                  <wp:effectExtent l="0" t="0" r="635" b="6350"/>
                  <wp:docPr id="32" name="Рисунок 32" descr="http://elib.kstu.kz/fulltext/!!!books/%D0%9B%D0%B8%D0%BD%D0%B8%D0%B8%20%D1%81%D0%B2%D1%8F%D0%B7%D0%B8/formulas/17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elib.kstu.kz/fulltext/!!!books/%D0%9B%D0%B8%D0%BD%D0%B8%D0%B8%20%D1%81%D0%B2%D1%8F%D0%B7%D0%B8/formulas/17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215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40F33" w:rsidRPr="00840F33" w:rsidRDefault="00840F33" w:rsidP="00840F3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В коротких линиях (до 5 км) действует линейный закон соотношения DF и l: DF/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DFx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 =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lx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/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l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Таким образом, пропускная информационная способность и дальность передачи по оптическим кабелям лимитируется не только дисперсией, но и затуханием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световодов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. В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многомодовых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световодах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ограничивающим фактором является дисперсия, а в </w:t>
            </w:r>
            <w:proofErr w:type="gram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градиентных</w:t>
            </w:r>
            <w:proofErr w:type="gram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одномодовых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световодах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, обладающих хорошими дисперсионными характеристиками, дальность связи может лимитироваться затуханием </w:t>
            </w:r>
            <w:proofErr w:type="spellStart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световодов</w:t>
            </w:r>
            <w:proofErr w:type="spellEnd"/>
            <w:r w:rsidRPr="00840F3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тракта.</w:t>
            </w:r>
          </w:p>
        </w:tc>
      </w:tr>
    </w:tbl>
    <w:p w:rsidR="00CC750B" w:rsidRDefault="00CC750B">
      <w:bookmarkStart w:id="0" w:name="_GoBack"/>
      <w:bookmarkEnd w:id="0"/>
    </w:p>
    <w:sectPr w:rsidR="00CC7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E3E"/>
    <w:rsid w:val="007650EC"/>
    <w:rsid w:val="00840F33"/>
    <w:rsid w:val="009E5E3E"/>
    <w:rsid w:val="00BF00D7"/>
    <w:rsid w:val="00CC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50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65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50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50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65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50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06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9" Type="http://schemas.openxmlformats.org/officeDocument/2006/relationships/image" Target="media/image35.gif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gif"/><Relationship Id="rId47" Type="http://schemas.openxmlformats.org/officeDocument/2006/relationships/fontTable" Target="fontTable.xml"/><Relationship Id="rId7" Type="http://schemas.openxmlformats.org/officeDocument/2006/relationships/image" Target="media/image3.gif"/><Relationship Id="rId12" Type="http://schemas.openxmlformats.org/officeDocument/2006/relationships/image" Target="media/image8.jpeg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33" Type="http://schemas.openxmlformats.org/officeDocument/2006/relationships/image" Target="media/image29.jpeg"/><Relationship Id="rId38" Type="http://schemas.openxmlformats.org/officeDocument/2006/relationships/image" Target="media/image34.gif"/><Relationship Id="rId46" Type="http://schemas.openxmlformats.org/officeDocument/2006/relationships/image" Target="media/image42.gif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29" Type="http://schemas.openxmlformats.org/officeDocument/2006/relationships/image" Target="media/image25.gif"/><Relationship Id="rId41" Type="http://schemas.openxmlformats.org/officeDocument/2006/relationships/image" Target="media/image37.gif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32" Type="http://schemas.openxmlformats.org/officeDocument/2006/relationships/image" Target="media/image28.jpeg"/><Relationship Id="rId37" Type="http://schemas.openxmlformats.org/officeDocument/2006/relationships/image" Target="media/image33.gif"/><Relationship Id="rId40" Type="http://schemas.openxmlformats.org/officeDocument/2006/relationships/image" Target="media/image36.gif"/><Relationship Id="rId45" Type="http://schemas.openxmlformats.org/officeDocument/2006/relationships/image" Target="media/image41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jpeg"/><Relationship Id="rId36" Type="http://schemas.openxmlformats.org/officeDocument/2006/relationships/image" Target="media/image32.gif"/><Relationship Id="rId10" Type="http://schemas.openxmlformats.org/officeDocument/2006/relationships/image" Target="media/image6.jpeg"/><Relationship Id="rId19" Type="http://schemas.openxmlformats.org/officeDocument/2006/relationships/image" Target="media/image15.gif"/><Relationship Id="rId31" Type="http://schemas.openxmlformats.org/officeDocument/2006/relationships/image" Target="media/image27.gif"/><Relationship Id="rId44" Type="http://schemas.openxmlformats.org/officeDocument/2006/relationships/image" Target="media/image40.gi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image" Target="media/image23.gif"/><Relationship Id="rId30" Type="http://schemas.openxmlformats.org/officeDocument/2006/relationships/image" Target="media/image26.gif"/><Relationship Id="rId35" Type="http://schemas.openxmlformats.org/officeDocument/2006/relationships/image" Target="media/image31.gif"/><Relationship Id="rId43" Type="http://schemas.openxmlformats.org/officeDocument/2006/relationships/image" Target="media/image39.gif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3116</Words>
  <Characters>17762</Characters>
  <Application>Microsoft Office Word</Application>
  <DocSecurity>0</DocSecurity>
  <Lines>148</Lines>
  <Paragraphs>41</Paragraphs>
  <ScaleCrop>false</ScaleCrop>
  <Company/>
  <LinksUpToDate>false</LinksUpToDate>
  <CharactersWithSpaces>20837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Дана Байшуақ</dc:creator>
  <cp:keywords/>
  <dc:description/>
  <cp:lastModifiedBy>Дана Байшуақ</cp:lastModifiedBy>
  <cp:revision>4</cp:revision>
  <dcterms:created xsi:type="dcterms:W3CDTF">2024-03-28T04:30:00Z</dcterms:created>
  <dcterms:modified xsi:type="dcterms:W3CDTF">2024-03-28T04:33:00Z</dcterms:modified>
</cp:coreProperties>
</file>