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BF7" w:rsidRDefault="00B67BF7" w:rsidP="00B67BF7">
      <w:pPr>
        <w:ind w:firstLine="851"/>
        <w:jc w:val="center"/>
        <w:rPr>
          <w:color w:val="000000"/>
          <w:sz w:val="28"/>
          <w:szCs w:val="28"/>
        </w:rPr>
      </w:pPr>
      <w:bookmarkStart w:id="0" w:name="z20"/>
      <w:r w:rsidRPr="005779B8">
        <w:rPr>
          <w:color w:val="000000"/>
          <w:sz w:val="28"/>
          <w:szCs w:val="28"/>
        </w:rPr>
        <w:t>3. ПОРЯДОК ОБЕСПЕЧЕНИЯ РАЦИОНАЛЬНОГО ИСПОЛЬЗОВАНИЯ</w:t>
      </w:r>
      <w:r>
        <w:rPr>
          <w:sz w:val="28"/>
          <w:szCs w:val="28"/>
        </w:rPr>
        <w:t xml:space="preserve"> </w:t>
      </w:r>
      <w:r w:rsidRPr="005779B8">
        <w:rPr>
          <w:color w:val="000000"/>
          <w:sz w:val="28"/>
          <w:szCs w:val="28"/>
        </w:rPr>
        <w:t>ЗЕМЕЛЬ СЕЛЬСКОХОЗЯЙСТВЕННОГО НАЗНАЧЕНИЯ</w:t>
      </w:r>
    </w:p>
    <w:p w:rsidR="00B67BF7" w:rsidRPr="005779B8" w:rsidRDefault="00B67BF7" w:rsidP="00B67BF7">
      <w:pPr>
        <w:ind w:firstLine="851"/>
        <w:jc w:val="center"/>
        <w:rPr>
          <w:sz w:val="28"/>
          <w:szCs w:val="28"/>
        </w:rPr>
      </w:pPr>
    </w:p>
    <w:p w:rsidR="00B67BF7" w:rsidRPr="00DF088D" w:rsidRDefault="00B67BF7" w:rsidP="00B67BF7">
      <w:pPr>
        <w:ind w:firstLine="851"/>
        <w:jc w:val="both"/>
        <w:rPr>
          <w:sz w:val="28"/>
          <w:szCs w:val="28"/>
        </w:rPr>
      </w:pPr>
      <w:bookmarkStart w:id="1" w:name="z21"/>
      <w:bookmarkEnd w:id="0"/>
      <w:r w:rsidRPr="00DF088D">
        <w:rPr>
          <w:color w:val="000000"/>
          <w:sz w:val="28"/>
          <w:szCs w:val="28"/>
        </w:rPr>
        <w:t>Мониторинг плодородия земель сельскохозяйственного назначения и выполнения сельскохозяйственными товаропроизводителями требований</w:t>
      </w:r>
      <w:r>
        <w:rPr>
          <w:color w:val="000000"/>
          <w:sz w:val="28"/>
          <w:szCs w:val="28"/>
        </w:rPr>
        <w:t xml:space="preserve"> </w:t>
      </w:r>
      <w:r w:rsidRPr="00DF088D">
        <w:rPr>
          <w:color w:val="000000"/>
          <w:sz w:val="28"/>
          <w:szCs w:val="28"/>
        </w:rPr>
        <w:t>осуществляется агрохимической службой и Государственной корпорацией "Правительство для граждан" на основе данных, полученных при проведении почвенных, агрохимических, фитосанитарных обследований земель сельскохозяйственного назначения и мониторинга земель.</w:t>
      </w:r>
    </w:p>
    <w:bookmarkEnd w:id="1"/>
    <w:p w:rsidR="00B67BF7" w:rsidRDefault="00B67BF7" w:rsidP="00B67BF7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В целях обеспечения рационального использования земель местный исполнительный орган области, города республиканского значения, столицы, районов, городов областного значения в месячный срок после выдачи правоустанавливающих документов информирует агрохимическую службу о вновь предоставленных земельных участках сельскохозяйственного назначения.</w:t>
      </w:r>
    </w:p>
    <w:p w:rsidR="00B67BF7" w:rsidRDefault="00B67BF7" w:rsidP="00B67BF7">
      <w:pPr>
        <w:ind w:firstLine="851"/>
        <w:jc w:val="both"/>
        <w:rPr>
          <w:color w:val="000000"/>
          <w:sz w:val="28"/>
          <w:szCs w:val="28"/>
        </w:rPr>
      </w:pPr>
      <w:r w:rsidRPr="00DF088D">
        <w:rPr>
          <w:color w:val="000000"/>
          <w:sz w:val="28"/>
          <w:szCs w:val="28"/>
        </w:rPr>
        <w:t>Агрохимическая служба в течение первого календарного года после получения сельскохозяйственным товаропроизводителем правоустанавливающих документов проводит агрохимическое обследование</w:t>
      </w:r>
      <w:r>
        <w:rPr>
          <w:color w:val="000000"/>
          <w:sz w:val="28"/>
          <w:szCs w:val="28"/>
        </w:rPr>
        <w:t>.</w:t>
      </w:r>
      <w:bookmarkStart w:id="2" w:name="z22"/>
    </w:p>
    <w:p w:rsidR="00B67BF7" w:rsidRPr="0094111A" w:rsidRDefault="00B67BF7" w:rsidP="00B67BF7">
      <w:pPr>
        <w:ind w:firstLine="851"/>
        <w:jc w:val="both"/>
        <w:rPr>
          <w:color w:val="000000"/>
          <w:sz w:val="28"/>
          <w:szCs w:val="28"/>
        </w:rPr>
      </w:pPr>
      <w:r w:rsidRPr="00DF088D">
        <w:rPr>
          <w:color w:val="000000"/>
          <w:sz w:val="28"/>
          <w:szCs w:val="28"/>
        </w:rPr>
        <w:t>Показатели содержания в пахотном горизонте общего гумуса, средневзвешенного содержания легкогидролизуемого азота, подвижного фосфора и обменного калия определяются по результатам агрохимического обследования почв, проводимого с цикличностью один раз в семь лет – на богаре и один раз в пять лет – на орошении, и сравниваются с показателями, зафиксированными первичным (базовым) туром и последующими турами агрохимического обследования.</w:t>
      </w:r>
    </w:p>
    <w:p w:rsidR="00B67BF7" w:rsidRPr="00DF088D" w:rsidRDefault="00B67BF7" w:rsidP="00B67BF7">
      <w:pPr>
        <w:ind w:firstLine="851"/>
        <w:jc w:val="both"/>
        <w:rPr>
          <w:sz w:val="28"/>
          <w:szCs w:val="28"/>
        </w:rPr>
      </w:pPr>
      <w:bookmarkStart w:id="3" w:name="z23"/>
      <w:bookmarkEnd w:id="2"/>
      <w:r w:rsidRPr="00DF088D">
        <w:rPr>
          <w:color w:val="000000"/>
          <w:sz w:val="28"/>
          <w:szCs w:val="28"/>
        </w:rPr>
        <w:t>По землям сельскохозяйственного назначения для целей растениеводства осуществляется сравнение данных об урожайности сельскохозяйственных культур, полученных сельскохозяйственным товаропроизводителем, с показателями среднерайонной урожайности по соответствующим культурам.</w:t>
      </w:r>
    </w:p>
    <w:bookmarkEnd w:id="3"/>
    <w:p w:rsidR="00B67BF7" w:rsidRPr="00DF088D" w:rsidRDefault="00B67BF7" w:rsidP="00B67BF7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Среднерайонная урожайность рассчитывается в разрезе культур, а также в разрезе орошаемых и неорошаемых земель сельскохозяйственного назначения.</w:t>
      </w:r>
    </w:p>
    <w:p w:rsidR="00B67BF7" w:rsidRPr="00DF088D" w:rsidRDefault="00B67BF7" w:rsidP="00B67BF7">
      <w:pPr>
        <w:ind w:firstLine="851"/>
        <w:jc w:val="both"/>
        <w:rPr>
          <w:sz w:val="28"/>
          <w:szCs w:val="28"/>
        </w:rPr>
      </w:pPr>
      <w:bookmarkStart w:id="4" w:name="z24"/>
      <w:r w:rsidRPr="00DF088D">
        <w:rPr>
          <w:color w:val="000000"/>
          <w:sz w:val="28"/>
          <w:szCs w:val="28"/>
        </w:rPr>
        <w:t>Получение сельскохозяйственным товаропроизводителем уровня урожайности сельскохозяйственных культур менее восьмидесяти пяти процентов от среднерайонного показателя по соответствующей культуре в течение трех лет подряд является нерациональным использованием земель сельскохозяйственного назначения.</w:t>
      </w:r>
    </w:p>
    <w:bookmarkEnd w:id="4"/>
    <w:p w:rsidR="00B67BF7" w:rsidRDefault="00B67BF7" w:rsidP="00B67BF7"/>
    <w:p w:rsidR="00B67BF7" w:rsidRDefault="00B67BF7" w:rsidP="00B67BF7"/>
    <w:p w:rsidR="00B67BF7" w:rsidRDefault="00B67BF7" w:rsidP="00B67BF7"/>
    <w:p w:rsidR="00B67BF7" w:rsidRDefault="00B67BF7" w:rsidP="00B67BF7"/>
    <w:p w:rsidR="00B67BF7" w:rsidRDefault="00B67BF7" w:rsidP="00B67BF7"/>
    <w:p w:rsidR="00B67BF7" w:rsidRDefault="00B67BF7" w:rsidP="00B67BF7"/>
    <w:p w:rsidR="00B67BF7" w:rsidRPr="00F50458" w:rsidRDefault="00B67BF7" w:rsidP="00B67BF7">
      <w:pPr>
        <w:jc w:val="center"/>
        <w:rPr>
          <w:sz w:val="28"/>
          <w:szCs w:val="28"/>
        </w:rPr>
      </w:pPr>
      <w:r w:rsidRPr="00F50458">
        <w:rPr>
          <w:rFonts w:ascii="Consolas"/>
          <w:color w:val="000000"/>
          <w:sz w:val="28"/>
          <w:szCs w:val="28"/>
        </w:rPr>
        <w:t>Показатели</w:t>
      </w:r>
      <w:r w:rsidRPr="00F50458">
        <w:rPr>
          <w:rFonts w:ascii="Consolas"/>
          <w:color w:val="000000"/>
          <w:sz w:val="28"/>
          <w:szCs w:val="28"/>
        </w:rPr>
        <w:t xml:space="preserve"> </w:t>
      </w:r>
      <w:r w:rsidRPr="00F50458">
        <w:rPr>
          <w:rFonts w:ascii="Consolas"/>
          <w:color w:val="000000"/>
          <w:sz w:val="28"/>
          <w:szCs w:val="28"/>
        </w:rPr>
        <w:t>обеспеченности</w:t>
      </w:r>
      <w:r w:rsidRPr="00F50458">
        <w:rPr>
          <w:rFonts w:ascii="Consolas"/>
          <w:color w:val="000000"/>
          <w:sz w:val="28"/>
          <w:szCs w:val="28"/>
        </w:rPr>
        <w:t xml:space="preserve"> </w:t>
      </w:r>
      <w:r w:rsidRPr="00F50458">
        <w:rPr>
          <w:rFonts w:ascii="Consolas"/>
          <w:color w:val="000000"/>
          <w:sz w:val="28"/>
          <w:szCs w:val="28"/>
        </w:rPr>
        <w:t>гумусом</w:t>
      </w:r>
      <w:r w:rsidRPr="00F50458">
        <w:rPr>
          <w:rFonts w:ascii="Consolas"/>
          <w:color w:val="000000"/>
          <w:sz w:val="28"/>
          <w:szCs w:val="28"/>
        </w:rPr>
        <w:t xml:space="preserve"> </w:t>
      </w:r>
      <w:r w:rsidRPr="00F50458">
        <w:rPr>
          <w:rFonts w:ascii="Consolas"/>
          <w:color w:val="000000"/>
          <w:sz w:val="28"/>
          <w:szCs w:val="28"/>
        </w:rPr>
        <w:t>и</w:t>
      </w:r>
      <w:r w:rsidRPr="00F50458">
        <w:rPr>
          <w:rFonts w:ascii="Consolas"/>
          <w:color w:val="000000"/>
          <w:sz w:val="28"/>
          <w:szCs w:val="28"/>
        </w:rPr>
        <w:t xml:space="preserve"> </w:t>
      </w:r>
      <w:r w:rsidRPr="00F50458">
        <w:rPr>
          <w:rFonts w:ascii="Consolas"/>
          <w:color w:val="000000"/>
          <w:sz w:val="28"/>
          <w:szCs w:val="28"/>
        </w:rPr>
        <w:t>элементами</w:t>
      </w:r>
      <w:r w:rsidRPr="00F50458">
        <w:rPr>
          <w:rFonts w:ascii="Consolas"/>
          <w:color w:val="000000"/>
          <w:sz w:val="28"/>
          <w:szCs w:val="28"/>
        </w:rPr>
        <w:t xml:space="preserve"> </w:t>
      </w:r>
      <w:r w:rsidRPr="00F50458">
        <w:rPr>
          <w:rFonts w:ascii="Consolas"/>
          <w:color w:val="000000"/>
          <w:sz w:val="28"/>
          <w:szCs w:val="28"/>
        </w:rPr>
        <w:t>питания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"/>
        <w:gridCol w:w="1081"/>
        <w:gridCol w:w="956"/>
        <w:gridCol w:w="693"/>
        <w:gridCol w:w="579"/>
        <w:gridCol w:w="529"/>
        <w:gridCol w:w="694"/>
        <w:gridCol w:w="591"/>
        <w:gridCol w:w="540"/>
        <w:gridCol w:w="615"/>
        <w:gridCol w:w="524"/>
        <w:gridCol w:w="479"/>
        <w:gridCol w:w="615"/>
        <w:gridCol w:w="524"/>
        <w:gridCol w:w="479"/>
      </w:tblGrid>
      <w:tr w:rsidR="00B67BF7" w:rsidRPr="00DF088D" w:rsidTr="00C60FED">
        <w:trPr>
          <w:trHeight w:val="30"/>
        </w:trPr>
        <w:tc>
          <w:tcPr>
            <w:tcW w:w="35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lastRenderedPageBreak/>
              <w:t>№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п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/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п</w:t>
            </w:r>
          </w:p>
        </w:tc>
        <w:tc>
          <w:tcPr>
            <w:tcW w:w="1141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Область</w:t>
            </w:r>
          </w:p>
        </w:tc>
        <w:tc>
          <w:tcPr>
            <w:tcW w:w="101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Тип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почвы</w:t>
            </w:r>
          </w:p>
        </w:tc>
        <w:tc>
          <w:tcPr>
            <w:tcW w:w="0" w:type="auto"/>
            <w:gridSpan w:val="3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Обеспеченность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гумусом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, %</w:t>
            </w:r>
          </w:p>
        </w:tc>
        <w:tc>
          <w:tcPr>
            <w:tcW w:w="0" w:type="auto"/>
            <w:gridSpan w:val="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Обеспеченность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элементами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питания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,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мг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/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кг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легко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гидролизуемым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азотом</w:t>
            </w:r>
          </w:p>
        </w:tc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подвижным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фосфором</w:t>
            </w:r>
          </w:p>
        </w:tc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обменным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калием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очень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,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менее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опти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</w:p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маль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</w:p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ная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очень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,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менее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опти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</w:p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маль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</w:p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ная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очень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,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менее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опти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маль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ная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очень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,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менее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низкая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опти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маль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ная</w:t>
            </w:r>
          </w:p>
        </w:tc>
      </w:tr>
      <w:tr w:rsidR="00B67BF7" w:rsidRPr="00DF088D" w:rsidTr="00C60FED">
        <w:trPr>
          <w:trHeight w:val="30"/>
        </w:trPr>
        <w:tc>
          <w:tcPr>
            <w:tcW w:w="35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5.</w:t>
            </w:r>
          </w:p>
        </w:tc>
        <w:tc>
          <w:tcPr>
            <w:tcW w:w="1141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Восточно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</w:p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Казахстанская</w:t>
            </w: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черноземы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55-60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17-30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Темно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36-50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32-50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Светло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13-30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Предгорные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черноземы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4,8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45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45-60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17-30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Предгорные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темно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38-50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16-30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Предгорные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светло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33-50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коричневые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3,7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4,1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48-60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Черноземы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южные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3,6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&lt;30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42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42-60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Сероземы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светлые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Предгорные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 xml:space="preserve"> 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темно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каштановые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38-50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Серо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бурые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31-50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Серо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коричневые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33-50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15-30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  <w:tr w:rsidR="00B67BF7" w:rsidRPr="00DF088D" w:rsidTr="00C60FED">
        <w:trPr>
          <w:trHeight w:val="30"/>
        </w:trPr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B67BF7" w:rsidRPr="00DF088D" w:rsidRDefault="00B67BF7" w:rsidP="00C60FED">
            <w:pPr>
              <w:rPr>
                <w:sz w:val="16"/>
                <w:szCs w:val="16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Лугово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-</w:t>
            </w:r>
            <w:r w:rsidRPr="00DF088D">
              <w:rPr>
                <w:rFonts w:ascii="Consolas"/>
                <w:color w:val="000000"/>
                <w:sz w:val="16"/>
                <w:szCs w:val="16"/>
              </w:rPr>
              <w:t>сероземные</w:t>
            </w:r>
          </w:p>
        </w:tc>
        <w:tc>
          <w:tcPr>
            <w:tcW w:w="6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&lt;25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34-50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17-30</w:t>
            </w:r>
          </w:p>
        </w:tc>
        <w:tc>
          <w:tcPr>
            <w:tcW w:w="6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&lt;100</w:t>
            </w:r>
          </w:p>
        </w:tc>
        <w:tc>
          <w:tcPr>
            <w:tcW w:w="54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4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BF7" w:rsidRPr="00DF088D" w:rsidRDefault="00B67BF7" w:rsidP="00C60FED">
            <w:pPr>
              <w:spacing w:after="20"/>
              <w:ind w:left="20"/>
              <w:rPr>
                <w:sz w:val="16"/>
                <w:szCs w:val="16"/>
              </w:rPr>
            </w:pPr>
            <w:r w:rsidRPr="00DF088D">
              <w:rPr>
                <w:rFonts w:ascii="Consolas"/>
                <w:color w:val="000000"/>
                <w:sz w:val="16"/>
                <w:szCs w:val="16"/>
              </w:rPr>
              <w:t>&gt;410</w:t>
            </w:r>
          </w:p>
        </w:tc>
      </w:tr>
    </w:tbl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B67BF7" w:rsidRDefault="00B67BF7" w:rsidP="00B67BF7">
      <w:pPr>
        <w:pStyle w:val="a3"/>
        <w:ind w:left="360"/>
        <w:rPr>
          <w:rFonts w:ascii="KZ Times New Roman" w:hAnsi="KZ Times New Roman"/>
          <w:b/>
          <w:szCs w:val="28"/>
        </w:rPr>
      </w:pPr>
    </w:p>
    <w:p w:rsidR="00D9645E" w:rsidRDefault="00D9645E">
      <w:bookmarkStart w:id="5" w:name="_GoBack"/>
      <w:bookmarkEnd w:id="5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DB6"/>
    <w:rsid w:val="00B67BF7"/>
    <w:rsid w:val="00CF5DB6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3E26F5-6A0A-4D26-8DF9-DEA9AB6D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B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link w:val="a5"/>
    <w:qFormat/>
    <w:rsid w:val="00B67BF7"/>
    <w:pPr>
      <w:jc w:val="center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5">
    <w:name w:val="Название Знак"/>
    <w:link w:val="a3"/>
    <w:rsid w:val="00B67BF7"/>
    <w:rPr>
      <w:sz w:val="28"/>
    </w:rPr>
  </w:style>
  <w:style w:type="paragraph" w:styleId="a4">
    <w:name w:val="Title"/>
    <w:basedOn w:val="a"/>
    <w:next w:val="a"/>
    <w:link w:val="a6"/>
    <w:uiPriority w:val="10"/>
    <w:qFormat/>
    <w:rsid w:val="00B67BF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Заголовок Знак"/>
    <w:basedOn w:val="a0"/>
    <w:link w:val="a4"/>
    <w:uiPriority w:val="10"/>
    <w:rsid w:val="00B67BF7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3084</Characters>
  <Application>Microsoft Office Word</Application>
  <DocSecurity>0</DocSecurity>
  <Lines>25</Lines>
  <Paragraphs>7</Paragraphs>
  <ScaleCrop>false</ScaleCrop>
  <Company>diakov.net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2020-04-08T14:08:00Z</dcterms:created>
  <dcterms:modified xsi:type="dcterms:W3CDTF">2020-04-08T14:08:00Z</dcterms:modified>
</cp:coreProperties>
</file>