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E698CB" w14:textId="231F2F14" w:rsidR="002711B7" w:rsidRPr="002711B7" w:rsidRDefault="002711B7" w:rsidP="002711B7">
      <w:pPr>
        <w:pStyle w:val="a3"/>
        <w:spacing w:before="1"/>
        <w:ind w:left="1290" w:right="132"/>
        <w:jc w:val="center"/>
        <w:rPr>
          <w:lang w:val="ru-RU"/>
        </w:rPr>
      </w:pPr>
      <w:r>
        <w:t>ПРАКТИЧЕСКАЯ РАБОТА №</w:t>
      </w:r>
      <w:r>
        <w:rPr>
          <w:lang w:val="ru-RU"/>
        </w:rPr>
        <w:t>6</w:t>
      </w:r>
    </w:p>
    <w:p w14:paraId="5E80757E" w14:textId="77777777" w:rsidR="002711B7" w:rsidRDefault="002711B7" w:rsidP="002711B7">
      <w:pPr>
        <w:pStyle w:val="a3"/>
        <w:spacing w:before="4"/>
      </w:pPr>
    </w:p>
    <w:p w14:paraId="01284323" w14:textId="1312417A" w:rsidR="002711B7" w:rsidRPr="002711B7" w:rsidRDefault="002711B7" w:rsidP="002711B7">
      <w:pPr>
        <w:pStyle w:val="a5"/>
        <w:numPr>
          <w:ilvl w:val="0"/>
          <w:numId w:val="4"/>
        </w:numPr>
        <w:tabs>
          <w:tab w:val="left" w:pos="2721"/>
        </w:tabs>
        <w:spacing w:line="244" w:lineRule="auto"/>
        <w:ind w:right="1344"/>
        <w:rPr>
          <w:sz w:val="28"/>
        </w:rPr>
      </w:pPr>
      <w:r w:rsidRPr="002711B7">
        <w:rPr>
          <w:sz w:val="28"/>
        </w:rPr>
        <w:t>ИЗУЧЕНИЕ</w:t>
      </w:r>
      <w:r w:rsidRPr="002711B7">
        <w:rPr>
          <w:spacing w:val="-27"/>
          <w:sz w:val="28"/>
        </w:rPr>
        <w:t xml:space="preserve"> </w:t>
      </w:r>
      <w:r w:rsidRPr="002711B7">
        <w:rPr>
          <w:sz w:val="28"/>
        </w:rPr>
        <w:t>РАЗМЕЩЕНИЯ</w:t>
      </w:r>
      <w:r w:rsidRPr="002711B7">
        <w:rPr>
          <w:spacing w:val="-24"/>
          <w:sz w:val="28"/>
        </w:rPr>
        <w:t xml:space="preserve"> </w:t>
      </w:r>
      <w:r w:rsidRPr="002711B7">
        <w:rPr>
          <w:sz w:val="28"/>
        </w:rPr>
        <w:t>ДОРОЖНЫХ</w:t>
      </w:r>
      <w:r w:rsidRPr="002711B7">
        <w:rPr>
          <w:spacing w:val="-25"/>
          <w:sz w:val="28"/>
        </w:rPr>
        <w:t xml:space="preserve"> </w:t>
      </w:r>
      <w:r w:rsidRPr="002711B7">
        <w:rPr>
          <w:sz w:val="28"/>
        </w:rPr>
        <w:t>ЗНАКОВ, ДОРОЖНОЙ РАЗМЕТКИ И</w:t>
      </w:r>
      <w:r w:rsidRPr="002711B7">
        <w:rPr>
          <w:spacing w:val="-17"/>
          <w:sz w:val="28"/>
        </w:rPr>
        <w:t xml:space="preserve"> </w:t>
      </w:r>
      <w:r w:rsidRPr="002711B7">
        <w:rPr>
          <w:sz w:val="28"/>
        </w:rPr>
        <w:t>СВЕТОФОРОВ</w:t>
      </w:r>
    </w:p>
    <w:p w14:paraId="00A43976" w14:textId="77777777" w:rsidR="002711B7" w:rsidRDefault="002711B7" w:rsidP="002711B7">
      <w:pPr>
        <w:pStyle w:val="a3"/>
        <w:spacing w:line="321" w:lineRule="exact"/>
        <w:ind w:left="1290" w:right="129"/>
        <w:jc w:val="center"/>
      </w:pPr>
      <w:r>
        <w:t>НА РЕАЛЬНОМ ОБЪЕКТЕ</w:t>
      </w:r>
    </w:p>
    <w:p w14:paraId="373D09A2" w14:textId="77777777" w:rsidR="002711B7" w:rsidRDefault="002711B7" w:rsidP="002711B7">
      <w:pPr>
        <w:pStyle w:val="a3"/>
        <w:rPr>
          <w:sz w:val="30"/>
        </w:rPr>
      </w:pPr>
    </w:p>
    <w:p w14:paraId="3BA75FCF" w14:textId="5C1C7450" w:rsidR="002711B7" w:rsidRDefault="002711B7" w:rsidP="002711B7">
      <w:pPr>
        <w:pStyle w:val="1"/>
        <w:numPr>
          <w:ilvl w:val="1"/>
          <w:numId w:val="4"/>
        </w:numPr>
        <w:tabs>
          <w:tab w:val="left" w:pos="5217"/>
        </w:tabs>
      </w:pPr>
      <w:r>
        <w:t>Цель</w:t>
      </w:r>
      <w:r>
        <w:rPr>
          <w:spacing w:val="-3"/>
        </w:rPr>
        <w:t xml:space="preserve"> </w:t>
      </w:r>
      <w:r>
        <w:t>работы</w:t>
      </w:r>
    </w:p>
    <w:p w14:paraId="1F134C29" w14:textId="77777777" w:rsidR="002711B7" w:rsidRDefault="002711B7" w:rsidP="002711B7">
      <w:pPr>
        <w:pStyle w:val="a3"/>
        <w:spacing w:before="244" w:line="244" w:lineRule="auto"/>
        <w:ind w:left="719" w:right="402" w:firstLine="849"/>
        <w:jc w:val="both"/>
      </w:pPr>
      <w:r>
        <w:t>Целью работы является произведение осмотра, изучение и обобщение материала, связанного с особенностями размещения ТСР на участке улично- дорожной сети. Сравнение реального размещения ТСР с нормативными требованиями СТ РК 1412-2005.</w:t>
      </w:r>
    </w:p>
    <w:p w14:paraId="425D9111" w14:textId="77777777" w:rsidR="002711B7" w:rsidRDefault="002711B7" w:rsidP="002711B7">
      <w:pPr>
        <w:pStyle w:val="a3"/>
        <w:spacing w:before="1"/>
        <w:rPr>
          <w:sz w:val="29"/>
        </w:rPr>
      </w:pPr>
    </w:p>
    <w:p w14:paraId="1A9320A8" w14:textId="134564E4" w:rsidR="002711B7" w:rsidRDefault="002711B7" w:rsidP="002711B7">
      <w:pPr>
        <w:pStyle w:val="1"/>
        <w:numPr>
          <w:ilvl w:val="1"/>
          <w:numId w:val="4"/>
        </w:numPr>
        <w:tabs>
          <w:tab w:val="left" w:pos="3954"/>
        </w:tabs>
      </w:pPr>
      <w:r>
        <w:t>Краткие теоретические сведения</w:t>
      </w:r>
    </w:p>
    <w:p w14:paraId="19587A97" w14:textId="77777777" w:rsidR="002711B7" w:rsidRDefault="002711B7" w:rsidP="002711B7">
      <w:pPr>
        <w:pStyle w:val="a3"/>
        <w:spacing w:before="2"/>
        <w:rPr>
          <w:b/>
          <w:sz w:val="29"/>
        </w:rPr>
      </w:pPr>
    </w:p>
    <w:p w14:paraId="7263B71D" w14:textId="77777777" w:rsidR="002711B7" w:rsidRDefault="002711B7" w:rsidP="002711B7">
      <w:pPr>
        <w:pStyle w:val="a3"/>
        <w:spacing w:line="244" w:lineRule="auto"/>
        <w:ind w:left="719" w:right="403" w:firstLine="849"/>
        <w:jc w:val="both"/>
      </w:pPr>
      <w:r>
        <w:t>Способы размещения, условия применения дорожных знаков, дорожной разметки и светофоров регламентируются СТ РК</w:t>
      </w:r>
      <w:r>
        <w:rPr>
          <w:spacing w:val="53"/>
        </w:rPr>
        <w:t xml:space="preserve"> </w:t>
      </w:r>
      <w:r>
        <w:t>1412-2005</w:t>
      </w:r>
    </w:p>
    <w:p w14:paraId="7674BF94" w14:textId="77777777" w:rsidR="002711B7" w:rsidRDefault="002711B7" w:rsidP="002711B7">
      <w:pPr>
        <w:pStyle w:val="a3"/>
        <w:spacing w:line="244" w:lineRule="auto"/>
        <w:ind w:left="719" w:right="406"/>
        <w:jc w:val="both"/>
      </w:pPr>
      <w:r>
        <w:t>«Технические средства организации дорожного движения. Правила применения».</w:t>
      </w:r>
    </w:p>
    <w:p w14:paraId="77E68E44" w14:textId="77777777" w:rsidR="002711B7" w:rsidRDefault="002711B7" w:rsidP="002711B7">
      <w:pPr>
        <w:pStyle w:val="a3"/>
        <w:spacing w:line="244" w:lineRule="auto"/>
        <w:ind w:left="719" w:right="401" w:firstLine="849"/>
        <w:jc w:val="both"/>
      </w:pPr>
      <w:r>
        <w:t>В соответствии с СТ РК 1412-2005 предупреждающие знаки устанавливают вне населенных пунктов на расстоянии 150-300 м до начала опасного участка, а в населенных пунктах на расстоянии 50-100 м. Знаки, установленные на дороге последовательно, за исключением знаков, установленных на перекрестке, должны быть расположены вне населенных пунктов на расстоянии не менее 50 м, а в населенных пунктах – не менее 25 м друг от друга. В одном поперечном сечении дороги допускается устанавливать не более трех знаков, без учета дублирующих знаков и знаков дополнительной информацией табличек.</w:t>
      </w:r>
    </w:p>
    <w:p w14:paraId="62ECD07F" w14:textId="77777777" w:rsidR="002711B7" w:rsidRDefault="002711B7" w:rsidP="002711B7">
      <w:pPr>
        <w:pStyle w:val="a3"/>
        <w:spacing w:line="244" w:lineRule="auto"/>
        <w:ind w:left="719" w:right="401" w:firstLine="849"/>
        <w:jc w:val="both"/>
      </w:pPr>
      <w:r>
        <w:t>Расстояние от кромки проезжей части, а при наличии обочины – от бровки землянного полотна до ближайшего края знака, установленного сбоку от проезжей части, должно составлять от 0,5 до 2 м, а до края информационно-указательных знаков от 0,5 до 5,0 м. Расстояние от нижнего края до поверхности дорожного покрытия (высота установки) должно составлять:</w:t>
      </w:r>
    </w:p>
    <w:p w14:paraId="3207737A" w14:textId="77777777" w:rsidR="002711B7" w:rsidRDefault="002711B7" w:rsidP="002711B7">
      <w:pPr>
        <w:pStyle w:val="a3"/>
        <w:spacing w:line="244" w:lineRule="auto"/>
        <w:ind w:left="719" w:right="399" w:firstLine="849"/>
        <w:jc w:val="both"/>
      </w:pPr>
      <w:r>
        <w:t>от 1,5 до 2,2 м – при установке сбоку от дороги вне населенных пунктов;</w:t>
      </w:r>
    </w:p>
    <w:p w14:paraId="62E5D2E7" w14:textId="77777777" w:rsidR="002711B7" w:rsidRDefault="002711B7" w:rsidP="002711B7">
      <w:pPr>
        <w:pStyle w:val="a3"/>
        <w:spacing w:line="321" w:lineRule="exact"/>
        <w:ind w:left="1568"/>
        <w:jc w:val="both"/>
      </w:pPr>
      <w:r>
        <w:t>от 2,0 до 4,0 м – в населенных пунктах;</w:t>
      </w:r>
    </w:p>
    <w:p w14:paraId="0C62098B" w14:textId="77777777" w:rsidR="002711B7" w:rsidRDefault="002711B7" w:rsidP="002711B7">
      <w:pPr>
        <w:pStyle w:val="a3"/>
        <w:spacing w:before="76" w:line="244" w:lineRule="auto"/>
        <w:ind w:left="719" w:right="1380" w:firstLine="849"/>
        <w:jc w:val="both"/>
      </w:pPr>
      <w:r>
        <w:t>не менее 0,6 м – при установке на островках безопасности и</w:t>
      </w:r>
      <w:r>
        <w:rPr>
          <w:spacing w:val="-37"/>
        </w:rPr>
        <w:t xml:space="preserve"> </w:t>
      </w:r>
      <w:r>
        <w:t>на проезжей части</w:t>
      </w:r>
      <w:r>
        <w:rPr>
          <w:spacing w:val="1"/>
        </w:rPr>
        <w:t xml:space="preserve"> </w:t>
      </w:r>
      <w:r>
        <w:t>дороги;</w:t>
      </w:r>
    </w:p>
    <w:p w14:paraId="2814C52E" w14:textId="77777777" w:rsidR="002711B7" w:rsidRDefault="002711B7" w:rsidP="002711B7">
      <w:pPr>
        <w:pStyle w:val="a3"/>
        <w:spacing w:line="321" w:lineRule="exact"/>
        <w:ind w:left="1568"/>
        <w:jc w:val="both"/>
      </w:pPr>
      <w:r>
        <w:t>от 5,0 до 6,0 – при размещении над проезжей частью.</w:t>
      </w:r>
    </w:p>
    <w:p w14:paraId="3FDD4B94" w14:textId="77777777" w:rsidR="002711B7" w:rsidRDefault="002711B7" w:rsidP="002711B7">
      <w:pPr>
        <w:pStyle w:val="a3"/>
        <w:spacing w:before="10" w:line="244" w:lineRule="auto"/>
        <w:ind w:left="719" w:right="402" w:firstLine="849"/>
        <w:jc w:val="both"/>
      </w:pPr>
      <w:r>
        <w:t>Разметка дорог может применяться как самостоятельно, так и в сочетании с дорожными знаками и светофорами. Разметка 1.12 (стоп - линия) должна применяться перед перекрестками при наличии дорожного знака 2.5</w:t>
      </w:r>
    </w:p>
    <w:p w14:paraId="27A94CC0" w14:textId="77777777" w:rsidR="002711B7" w:rsidRDefault="002711B7" w:rsidP="002711B7">
      <w:pPr>
        <w:pStyle w:val="a3"/>
        <w:spacing w:line="244" w:lineRule="auto"/>
        <w:ind w:left="719" w:right="406"/>
        <w:jc w:val="both"/>
      </w:pPr>
      <w:r>
        <w:t>«Движение без остановки запрещено», в местах где движение регулируется светофором, перед ж/д переездами.</w:t>
      </w:r>
    </w:p>
    <w:p w14:paraId="24F22F61" w14:textId="77777777" w:rsidR="002711B7" w:rsidRDefault="002711B7" w:rsidP="002711B7">
      <w:pPr>
        <w:pStyle w:val="a3"/>
        <w:spacing w:line="244" w:lineRule="auto"/>
        <w:ind w:left="719" w:right="401" w:firstLine="849"/>
        <w:jc w:val="both"/>
      </w:pPr>
      <w:r>
        <w:t>В местах, где движение регулируется светофором, стоп – линию следует наносить с учетом обеспечения видимости сигналов светофора водителями остановившихся транспортных средств (ТС). При этом расстояние от стоп – линии до границы пересекающей проезжей части или наземного пешеходного перехода не должно превышать 10 м при расположении светофоров над проезжей частью и 3 м сбоку от проезжей части.</w:t>
      </w:r>
    </w:p>
    <w:p w14:paraId="7A10569B" w14:textId="77777777" w:rsidR="002711B7" w:rsidRDefault="002711B7" w:rsidP="002711B7">
      <w:pPr>
        <w:pStyle w:val="a3"/>
        <w:spacing w:line="244" w:lineRule="auto"/>
        <w:ind w:left="719" w:right="403" w:firstLine="849"/>
        <w:jc w:val="both"/>
      </w:pPr>
      <w:r>
        <w:t>Разметка 1.13 должна применяться для обозначения места остановки ТС при наличии знака 2.4 «Уступите дорогу».</w:t>
      </w:r>
    </w:p>
    <w:p w14:paraId="5FD76541" w14:textId="77777777" w:rsidR="002711B7" w:rsidRDefault="002711B7" w:rsidP="002711B7">
      <w:pPr>
        <w:pStyle w:val="a3"/>
        <w:tabs>
          <w:tab w:val="left" w:pos="2101"/>
          <w:tab w:val="left" w:pos="4068"/>
          <w:tab w:val="left" w:pos="5537"/>
          <w:tab w:val="left" w:pos="7874"/>
          <w:tab w:val="left" w:pos="8387"/>
        </w:tabs>
        <w:spacing w:line="244" w:lineRule="auto"/>
        <w:ind w:left="719" w:right="403" w:firstLine="849"/>
        <w:jc w:val="right"/>
      </w:pPr>
      <w:r>
        <w:t>Разметку 1.12 и 1.13 следует</w:t>
      </w:r>
      <w:r>
        <w:rPr>
          <w:spacing w:val="44"/>
        </w:rPr>
        <w:t xml:space="preserve"> </w:t>
      </w:r>
      <w:r>
        <w:t>наносить под прямым углом к</w:t>
      </w:r>
      <w:r>
        <w:rPr>
          <w:spacing w:val="17"/>
        </w:rPr>
        <w:t xml:space="preserve"> </w:t>
      </w:r>
      <w:r>
        <w:t>оси</w:t>
      </w:r>
      <w:r>
        <w:rPr>
          <w:w w:val="99"/>
        </w:rPr>
        <w:t xml:space="preserve"> </w:t>
      </w:r>
      <w:r>
        <w:lastRenderedPageBreak/>
        <w:t>полосы</w:t>
      </w:r>
      <w:r>
        <w:rPr>
          <w:spacing w:val="23"/>
        </w:rPr>
        <w:t xml:space="preserve"> </w:t>
      </w:r>
      <w:r>
        <w:t>движения,</w:t>
      </w:r>
      <w:r>
        <w:rPr>
          <w:spacing w:val="25"/>
        </w:rPr>
        <w:t xml:space="preserve"> </w:t>
      </w:r>
      <w:r>
        <w:t>возможно</w:t>
      </w:r>
      <w:r>
        <w:rPr>
          <w:spacing w:val="23"/>
        </w:rPr>
        <w:t xml:space="preserve"> </w:t>
      </w:r>
      <w:r>
        <w:t>ближе</w:t>
      </w:r>
      <w:r>
        <w:rPr>
          <w:spacing w:val="25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пересекающей</w:t>
      </w:r>
      <w:r>
        <w:rPr>
          <w:spacing w:val="18"/>
        </w:rPr>
        <w:t xml:space="preserve"> </w:t>
      </w:r>
      <w:r>
        <w:t>проезжей</w:t>
      </w:r>
      <w:r>
        <w:rPr>
          <w:spacing w:val="19"/>
        </w:rPr>
        <w:t xml:space="preserve"> </w:t>
      </w:r>
      <w:r>
        <w:t>части</w:t>
      </w:r>
      <w:r>
        <w:rPr>
          <w:spacing w:val="19"/>
        </w:rPr>
        <w:t xml:space="preserve"> </w:t>
      </w:r>
      <w:r>
        <w:t>(стоп</w:t>
      </w:r>
      <w:r>
        <w:rPr>
          <w:spacing w:val="20"/>
        </w:rPr>
        <w:t xml:space="preserve"> </w:t>
      </w:r>
      <w:r>
        <w:t>–</w:t>
      </w:r>
      <w:r>
        <w:rPr>
          <w:w w:val="99"/>
        </w:rPr>
        <w:t xml:space="preserve"> </w:t>
      </w:r>
      <w:r>
        <w:t>линию не менее 1 м перед ней или перед наземным</w:t>
      </w:r>
      <w:r>
        <w:rPr>
          <w:spacing w:val="-28"/>
        </w:rPr>
        <w:t xml:space="preserve"> </w:t>
      </w:r>
      <w:r>
        <w:t>пешеходным</w:t>
      </w:r>
      <w:r>
        <w:rPr>
          <w:spacing w:val="-2"/>
        </w:rPr>
        <w:t xml:space="preserve"> </w:t>
      </w:r>
      <w:r>
        <w:t>переходом).</w:t>
      </w:r>
      <w:r>
        <w:rPr>
          <w:w w:val="99"/>
        </w:rPr>
        <w:t xml:space="preserve"> </w:t>
      </w:r>
      <w:r>
        <w:t>Ширина</w:t>
      </w:r>
      <w:r>
        <w:tab/>
        <w:t>пешеходного</w:t>
      </w:r>
      <w:r>
        <w:tab/>
        <w:t>перехода</w:t>
      </w:r>
      <w:r>
        <w:tab/>
        <w:t>устанавливается</w:t>
      </w:r>
      <w:r>
        <w:tab/>
        <w:t>с</w:t>
      </w:r>
      <w:r>
        <w:tab/>
      </w:r>
      <w:r>
        <w:rPr>
          <w:spacing w:val="-2"/>
        </w:rPr>
        <w:t>учетом</w:t>
      </w:r>
      <w:r>
        <w:rPr>
          <w:w w:val="99"/>
        </w:rPr>
        <w:t xml:space="preserve"> </w:t>
      </w:r>
      <w:r>
        <w:t>интенсивности пешеходного движения из расчета 1 м на каждые</w:t>
      </w:r>
      <w:r>
        <w:rPr>
          <w:spacing w:val="-25"/>
        </w:rPr>
        <w:t xml:space="preserve"> </w:t>
      </w:r>
      <w:r>
        <w:t>500</w:t>
      </w:r>
      <w:r>
        <w:rPr>
          <w:spacing w:val="-6"/>
        </w:rPr>
        <w:t xml:space="preserve"> </w:t>
      </w:r>
      <w:r>
        <w:t>пеш/час,</w:t>
      </w:r>
      <w:r>
        <w:rPr>
          <w:w w:val="99"/>
        </w:rPr>
        <w:t xml:space="preserve"> </w:t>
      </w:r>
      <w:r>
        <w:t>но не менее 4 м. На пешеходных переходах, где движение регулируется</w:t>
      </w:r>
    </w:p>
    <w:p w14:paraId="65544CA5" w14:textId="77777777" w:rsidR="002711B7" w:rsidRDefault="002711B7" w:rsidP="002711B7">
      <w:pPr>
        <w:pStyle w:val="a3"/>
        <w:spacing w:line="319" w:lineRule="exact"/>
        <w:ind w:left="719"/>
        <w:jc w:val="both"/>
      </w:pPr>
      <w:r>
        <w:t>светофором, должна применяться разметка 1.14.3.</w:t>
      </w:r>
    </w:p>
    <w:p w14:paraId="6E0D5491" w14:textId="77777777" w:rsidR="002711B7" w:rsidRDefault="002711B7" w:rsidP="002711B7">
      <w:pPr>
        <w:pStyle w:val="a3"/>
        <w:spacing w:before="3" w:line="244" w:lineRule="auto"/>
        <w:ind w:left="719" w:right="403" w:firstLine="849"/>
        <w:jc w:val="both"/>
      </w:pPr>
      <w:r>
        <w:t>Размещение светофоров (корме транспортных типа 3 и пешеходных) должно обеспечивать видимость их сигналов на расстоянии не менее 100 м с любой полосы движения. Светофоры должны устанавливаться на специальных колонках, кронштейнах, прикрепляемых к существующим опорам или стенам зданий, на консольных или рамных опорах, а также подвешиваться на тросах-растяжках.</w:t>
      </w:r>
    </w:p>
    <w:p w14:paraId="10723DD5" w14:textId="77777777" w:rsidR="002711B7" w:rsidRDefault="002711B7" w:rsidP="002711B7">
      <w:pPr>
        <w:pStyle w:val="a3"/>
        <w:spacing w:line="244" w:lineRule="auto"/>
        <w:ind w:left="719" w:right="1872" w:firstLine="849"/>
        <w:jc w:val="both"/>
      </w:pPr>
      <w:r>
        <w:t>Высота</w:t>
      </w:r>
      <w:r>
        <w:rPr>
          <w:spacing w:val="-8"/>
        </w:rPr>
        <w:t xml:space="preserve"> </w:t>
      </w:r>
      <w:r>
        <w:t>установки</w:t>
      </w:r>
      <w:r>
        <w:rPr>
          <w:spacing w:val="-7"/>
        </w:rPr>
        <w:t xml:space="preserve"> </w:t>
      </w:r>
      <w:r>
        <w:t>светофоров</w:t>
      </w:r>
      <w:r>
        <w:rPr>
          <w:spacing w:val="-9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нижней</w:t>
      </w:r>
      <w:r>
        <w:rPr>
          <w:spacing w:val="-8"/>
        </w:rPr>
        <w:t xml:space="preserve"> </w:t>
      </w:r>
      <w:r>
        <w:t>точки</w:t>
      </w:r>
      <w:r>
        <w:rPr>
          <w:spacing w:val="-8"/>
        </w:rPr>
        <w:t xml:space="preserve"> </w:t>
      </w:r>
      <w:r>
        <w:t>корпуса</w:t>
      </w:r>
      <w:r>
        <w:rPr>
          <w:spacing w:val="-7"/>
        </w:rPr>
        <w:t xml:space="preserve"> </w:t>
      </w:r>
      <w:r>
        <w:t>до поверхности проезжей части должна</w:t>
      </w:r>
      <w:r>
        <w:rPr>
          <w:spacing w:val="-2"/>
        </w:rPr>
        <w:t xml:space="preserve"> </w:t>
      </w:r>
      <w:r>
        <w:t>составлять:</w:t>
      </w:r>
    </w:p>
    <w:p w14:paraId="09BAD14D" w14:textId="77777777" w:rsidR="002711B7" w:rsidRDefault="002711B7" w:rsidP="002711B7">
      <w:pPr>
        <w:pStyle w:val="a3"/>
        <w:spacing w:line="321" w:lineRule="exact"/>
        <w:ind w:left="1568"/>
        <w:jc w:val="both"/>
      </w:pPr>
      <w:r>
        <w:t>для транспортных светофоров:</w:t>
      </w:r>
    </w:p>
    <w:p w14:paraId="5EFC1DEF" w14:textId="77777777" w:rsidR="002711B7" w:rsidRDefault="002711B7" w:rsidP="002711B7">
      <w:pPr>
        <w:pStyle w:val="a3"/>
        <w:spacing w:before="6" w:line="244" w:lineRule="auto"/>
        <w:ind w:left="1568" w:right="1604"/>
      </w:pPr>
      <w:r>
        <w:t>при расположении сбоку от проезжей части – от 2,0 до 3,0</w:t>
      </w:r>
      <w:r>
        <w:rPr>
          <w:spacing w:val="-26"/>
        </w:rPr>
        <w:t xml:space="preserve"> </w:t>
      </w:r>
      <w:r>
        <w:t>м; при расположении над проезжей частью – от 5,0 до 6,0 м; для транспортных светофоров типа 3 – от 1,5 до 2,0</w:t>
      </w:r>
      <w:r>
        <w:rPr>
          <w:spacing w:val="-9"/>
        </w:rPr>
        <w:t xml:space="preserve"> </w:t>
      </w:r>
      <w:r>
        <w:t>м;</w:t>
      </w:r>
    </w:p>
    <w:p w14:paraId="0915450D" w14:textId="77777777" w:rsidR="002711B7" w:rsidRDefault="002711B7" w:rsidP="002711B7">
      <w:pPr>
        <w:pStyle w:val="a3"/>
        <w:spacing w:line="321" w:lineRule="exact"/>
        <w:ind w:left="1568"/>
      </w:pPr>
      <w:r>
        <w:t>для пешеходных светофоров – от 2,0 до 2,5 м;</w:t>
      </w:r>
    </w:p>
    <w:p w14:paraId="1006B46E" w14:textId="77777777" w:rsidR="002711B7" w:rsidRDefault="002711B7" w:rsidP="002711B7">
      <w:pPr>
        <w:pStyle w:val="a3"/>
        <w:spacing w:before="10" w:line="244" w:lineRule="auto"/>
        <w:ind w:left="719" w:right="496" w:firstLine="849"/>
      </w:pPr>
      <w:r>
        <w:t>Расстояние от края проезжей части до светофора, установленного сбоку от проезжей части, должно составлять от 0,5 до 2,0 м.</w:t>
      </w:r>
    </w:p>
    <w:p w14:paraId="6C4495FB" w14:textId="77777777" w:rsidR="002711B7" w:rsidRDefault="002711B7" w:rsidP="002711B7">
      <w:pPr>
        <w:pStyle w:val="a3"/>
        <w:spacing w:line="244" w:lineRule="auto"/>
        <w:ind w:left="719" w:right="402" w:firstLine="849"/>
        <w:jc w:val="both"/>
      </w:pPr>
      <w:r>
        <w:t>Расстояние в горизонтальной плоскости от транспортных светофоров до стоп - линии на подходе к регулируемому перекрестку должно быть не менее 10,0 м при установке их над проезжей частью и не менее 3,0 при установке сбоку от проезжей части.</w:t>
      </w:r>
    </w:p>
    <w:p w14:paraId="1E3ABCF7" w14:textId="77777777" w:rsidR="002711B7" w:rsidRDefault="002711B7" w:rsidP="002711B7">
      <w:pPr>
        <w:widowControl/>
        <w:autoSpaceDE/>
        <w:autoSpaceDN/>
        <w:spacing w:line="244" w:lineRule="auto"/>
        <w:sectPr w:rsidR="002711B7">
          <w:pgSz w:w="11900" w:h="16840"/>
          <w:pgMar w:top="1060" w:right="440" w:bottom="280" w:left="980" w:header="580" w:footer="0" w:gutter="0"/>
          <w:cols w:space="720"/>
        </w:sectPr>
      </w:pPr>
    </w:p>
    <w:p w14:paraId="4E701018" w14:textId="77777777" w:rsidR="002711B7" w:rsidRDefault="002711B7" w:rsidP="002711B7">
      <w:pPr>
        <w:pStyle w:val="1"/>
        <w:numPr>
          <w:ilvl w:val="1"/>
          <w:numId w:val="4"/>
        </w:numPr>
        <w:tabs>
          <w:tab w:val="left" w:pos="2332"/>
        </w:tabs>
        <w:spacing w:before="81"/>
        <w:ind w:left="2331" w:hanging="423"/>
      </w:pPr>
      <w:r>
        <w:rPr>
          <w:spacing w:val="-3"/>
        </w:rPr>
        <w:lastRenderedPageBreak/>
        <w:t xml:space="preserve">Порядок </w:t>
      </w:r>
      <w:r>
        <w:t>и методические указания по выполнению</w:t>
      </w:r>
      <w:r>
        <w:rPr>
          <w:spacing w:val="-27"/>
        </w:rPr>
        <w:t xml:space="preserve"> </w:t>
      </w:r>
      <w:r>
        <w:t>работы</w:t>
      </w:r>
    </w:p>
    <w:p w14:paraId="3C2643AF" w14:textId="77777777" w:rsidR="002711B7" w:rsidRDefault="002711B7" w:rsidP="002711B7">
      <w:pPr>
        <w:pStyle w:val="a3"/>
        <w:spacing w:before="2"/>
        <w:rPr>
          <w:b/>
          <w:sz w:val="29"/>
        </w:rPr>
      </w:pPr>
    </w:p>
    <w:p w14:paraId="22FF57AF" w14:textId="11A3440F" w:rsidR="002711B7" w:rsidRPr="002711B7" w:rsidRDefault="002711B7" w:rsidP="002711B7">
      <w:pPr>
        <w:tabs>
          <w:tab w:val="left" w:pos="2202"/>
        </w:tabs>
        <w:ind w:left="1568"/>
        <w:rPr>
          <w:sz w:val="28"/>
        </w:rPr>
      </w:pPr>
      <w:r>
        <w:rPr>
          <w:sz w:val="28"/>
          <w:lang w:val="ru-RU"/>
        </w:rPr>
        <w:t xml:space="preserve">6.3.1 </w:t>
      </w:r>
      <w:r w:rsidRPr="002711B7">
        <w:rPr>
          <w:sz w:val="28"/>
        </w:rPr>
        <w:t>Выполняется на улично-дорожной</w:t>
      </w:r>
      <w:r w:rsidRPr="002711B7">
        <w:rPr>
          <w:spacing w:val="3"/>
          <w:sz w:val="28"/>
        </w:rPr>
        <w:t xml:space="preserve"> </w:t>
      </w:r>
      <w:r w:rsidRPr="002711B7">
        <w:rPr>
          <w:sz w:val="28"/>
        </w:rPr>
        <w:t>сети</w:t>
      </w:r>
    </w:p>
    <w:p w14:paraId="38D39683" w14:textId="77777777" w:rsidR="002711B7" w:rsidRDefault="002711B7" w:rsidP="002711B7">
      <w:pPr>
        <w:pStyle w:val="a3"/>
        <w:tabs>
          <w:tab w:val="left" w:pos="2038"/>
          <w:tab w:val="left" w:pos="3675"/>
          <w:tab w:val="left" w:pos="4841"/>
          <w:tab w:val="left" w:pos="6953"/>
          <w:tab w:val="left" w:pos="9070"/>
        </w:tabs>
        <w:spacing w:before="10" w:line="244" w:lineRule="auto"/>
        <w:ind w:left="719" w:right="406" w:firstLine="849"/>
      </w:pPr>
      <w:r>
        <w:t>а)</w:t>
      </w:r>
      <w:r>
        <w:tab/>
        <w:t>Произвести</w:t>
      </w:r>
      <w:r>
        <w:tab/>
        <w:t>осмотр,</w:t>
      </w:r>
      <w:r>
        <w:tab/>
        <w:t>планировочные</w:t>
      </w:r>
      <w:r>
        <w:tab/>
        <w:t>характеристики</w:t>
      </w:r>
      <w:r>
        <w:tab/>
      </w:r>
      <w:r>
        <w:rPr>
          <w:spacing w:val="-1"/>
        </w:rPr>
        <w:t xml:space="preserve">объекта, </w:t>
      </w:r>
      <w:r>
        <w:t>определить направление движения</w:t>
      </w:r>
      <w:r>
        <w:rPr>
          <w:spacing w:val="2"/>
        </w:rPr>
        <w:t xml:space="preserve"> </w:t>
      </w:r>
      <w:r>
        <w:t>ТС.</w:t>
      </w:r>
    </w:p>
    <w:p w14:paraId="2841F370" w14:textId="77777777" w:rsidR="002711B7" w:rsidRDefault="002711B7" w:rsidP="002711B7">
      <w:pPr>
        <w:pStyle w:val="a3"/>
        <w:spacing w:line="244" w:lineRule="auto"/>
        <w:ind w:left="1568" w:right="3304"/>
      </w:pPr>
      <w:r>
        <w:t>б) Начертить план объекта в масштабе 1:200. в) Нанести размещения ТСР на план объекта.</w:t>
      </w:r>
    </w:p>
    <w:p w14:paraId="0524CCFC" w14:textId="77777777" w:rsidR="002711B7" w:rsidRDefault="002711B7" w:rsidP="002711B7">
      <w:pPr>
        <w:pStyle w:val="a3"/>
        <w:spacing w:line="244" w:lineRule="auto"/>
        <w:ind w:left="719" w:right="496" w:firstLine="849"/>
      </w:pPr>
      <w:r>
        <w:t>г) Произвести осмотр и изучить установку ТСР на объектах (на колонках, кронштейнах, трос - растяжках и т.д.)</w:t>
      </w:r>
    </w:p>
    <w:p w14:paraId="6FD882FC" w14:textId="77777777" w:rsidR="002711B7" w:rsidRDefault="002711B7" w:rsidP="002711B7">
      <w:pPr>
        <w:pStyle w:val="a3"/>
        <w:spacing w:line="244" w:lineRule="auto"/>
        <w:ind w:left="719" w:right="496" w:firstLine="849"/>
      </w:pPr>
      <w:r>
        <w:t>д) Произвести оценку видимости ТСР для участников движения и степень их восприятия.</w:t>
      </w:r>
    </w:p>
    <w:p w14:paraId="6025FA87" w14:textId="77777777" w:rsidR="002711B7" w:rsidRDefault="002711B7" w:rsidP="002711B7">
      <w:pPr>
        <w:pStyle w:val="a3"/>
        <w:tabs>
          <w:tab w:val="left" w:pos="2110"/>
          <w:tab w:val="left" w:pos="3819"/>
          <w:tab w:val="left" w:pos="5355"/>
          <w:tab w:val="left" w:pos="6882"/>
          <w:tab w:val="left" w:pos="7352"/>
          <w:tab w:val="left" w:pos="9118"/>
          <w:tab w:val="left" w:pos="9948"/>
        </w:tabs>
        <w:spacing w:line="244" w:lineRule="auto"/>
        <w:ind w:left="719" w:right="405" w:firstLine="849"/>
      </w:pPr>
      <w:r>
        <w:t>е)</w:t>
      </w:r>
      <w:r>
        <w:tab/>
        <w:t>Произвести</w:t>
      </w:r>
      <w:r>
        <w:tab/>
        <w:t>сравнение</w:t>
      </w:r>
      <w:r>
        <w:tab/>
        <w:t>установки</w:t>
      </w:r>
      <w:r>
        <w:tab/>
        <w:t>и</w:t>
      </w:r>
      <w:r>
        <w:tab/>
        <w:t>размещения</w:t>
      </w:r>
      <w:r>
        <w:tab/>
        <w:t>ТСР</w:t>
      </w:r>
      <w:r>
        <w:tab/>
      </w:r>
      <w:r>
        <w:rPr>
          <w:spacing w:val="-17"/>
        </w:rPr>
        <w:t xml:space="preserve">с </w:t>
      </w:r>
      <w:r>
        <w:t>нормативными требованиями.</w:t>
      </w:r>
    </w:p>
    <w:p w14:paraId="2C08E5FC" w14:textId="77777777" w:rsidR="002711B7" w:rsidRDefault="002711B7" w:rsidP="002711B7">
      <w:pPr>
        <w:pStyle w:val="a3"/>
        <w:spacing w:line="244" w:lineRule="auto"/>
        <w:ind w:left="719" w:firstLine="849"/>
      </w:pPr>
      <w:r>
        <w:t>ж) Дать рекомендации по улучшению применения ТСР на данном реальном объекте.</w:t>
      </w:r>
    </w:p>
    <w:p w14:paraId="6C6BBF53" w14:textId="77777777" w:rsidR="002711B7" w:rsidRDefault="002711B7" w:rsidP="002711B7">
      <w:pPr>
        <w:pStyle w:val="a5"/>
        <w:numPr>
          <w:ilvl w:val="2"/>
          <w:numId w:val="2"/>
        </w:numPr>
        <w:tabs>
          <w:tab w:val="left" w:pos="2202"/>
        </w:tabs>
        <w:spacing w:line="321" w:lineRule="exact"/>
        <w:ind w:hanging="634"/>
        <w:rPr>
          <w:sz w:val="28"/>
        </w:rPr>
      </w:pPr>
      <w:r>
        <w:rPr>
          <w:sz w:val="28"/>
        </w:rPr>
        <w:t>Выполняется при оформлении</w:t>
      </w:r>
      <w:r>
        <w:rPr>
          <w:spacing w:val="3"/>
          <w:sz w:val="28"/>
        </w:rPr>
        <w:t xml:space="preserve"> </w:t>
      </w:r>
      <w:r>
        <w:rPr>
          <w:sz w:val="28"/>
        </w:rPr>
        <w:t>отчета</w:t>
      </w:r>
    </w:p>
    <w:p w14:paraId="7C97B7A1" w14:textId="77777777" w:rsidR="002711B7" w:rsidRDefault="002711B7" w:rsidP="002711B7">
      <w:pPr>
        <w:pStyle w:val="a3"/>
        <w:spacing w:before="4"/>
        <w:ind w:left="1568"/>
      </w:pPr>
      <w:r>
        <w:t>а) Начертить план реального объекта в масштабе 1:200 или 1:500.</w:t>
      </w:r>
    </w:p>
    <w:p w14:paraId="636C8BA7" w14:textId="77777777" w:rsidR="002711B7" w:rsidRDefault="002711B7" w:rsidP="002711B7">
      <w:pPr>
        <w:pStyle w:val="a3"/>
        <w:spacing w:before="10"/>
        <w:ind w:left="1568"/>
      </w:pPr>
      <w:r>
        <w:t>б) Нанести существующую схему размещения ТСР на план объекта.</w:t>
      </w:r>
    </w:p>
    <w:p w14:paraId="563682B9" w14:textId="77777777" w:rsidR="002711B7" w:rsidRDefault="002711B7" w:rsidP="002711B7">
      <w:pPr>
        <w:pStyle w:val="a3"/>
        <w:spacing w:before="9" w:line="244" w:lineRule="auto"/>
        <w:ind w:left="719" w:firstLine="864"/>
      </w:pPr>
      <w:r>
        <w:t>в) Начертить план реального объекта в масштабе 1:200 или 1:500 с нанесением рекомендуемой схемы размещения ТСР на нем.</w:t>
      </w:r>
    </w:p>
    <w:p w14:paraId="0441D31F" w14:textId="77777777" w:rsidR="002711B7" w:rsidRDefault="002711B7" w:rsidP="002711B7">
      <w:pPr>
        <w:pStyle w:val="a3"/>
        <w:spacing w:before="1"/>
        <w:rPr>
          <w:sz w:val="29"/>
        </w:rPr>
      </w:pPr>
    </w:p>
    <w:p w14:paraId="6C4CEC8E" w14:textId="77777777" w:rsidR="002711B7" w:rsidRDefault="002711B7" w:rsidP="002711B7">
      <w:pPr>
        <w:pStyle w:val="1"/>
        <w:numPr>
          <w:ilvl w:val="1"/>
          <w:numId w:val="4"/>
        </w:numPr>
        <w:tabs>
          <w:tab w:val="left" w:pos="4602"/>
        </w:tabs>
        <w:spacing w:before="1"/>
        <w:ind w:left="4602"/>
      </w:pPr>
      <w:r>
        <w:rPr>
          <w:spacing w:val="-3"/>
        </w:rPr>
        <w:t>Контрольные</w:t>
      </w:r>
      <w:r>
        <w:rPr>
          <w:spacing w:val="1"/>
        </w:rPr>
        <w:t xml:space="preserve"> </w:t>
      </w:r>
      <w:r>
        <w:rPr>
          <w:spacing w:val="-3"/>
        </w:rPr>
        <w:t>вопросы</w:t>
      </w:r>
    </w:p>
    <w:p w14:paraId="5E1BE870" w14:textId="77777777" w:rsidR="002711B7" w:rsidRDefault="002711B7" w:rsidP="002711B7">
      <w:pPr>
        <w:pStyle w:val="a3"/>
        <w:spacing w:before="2"/>
        <w:rPr>
          <w:b/>
          <w:sz w:val="29"/>
        </w:rPr>
      </w:pPr>
    </w:p>
    <w:p w14:paraId="6FB0FD68" w14:textId="54402015" w:rsidR="002711B7" w:rsidRPr="002711B7" w:rsidRDefault="002711B7" w:rsidP="002711B7">
      <w:pPr>
        <w:tabs>
          <w:tab w:val="left" w:pos="2202"/>
        </w:tabs>
        <w:rPr>
          <w:sz w:val="28"/>
        </w:rPr>
      </w:pPr>
      <w:r>
        <w:rPr>
          <w:sz w:val="28"/>
          <w:lang w:val="ru-RU"/>
        </w:rPr>
        <w:t xml:space="preserve">6.4.1 </w:t>
      </w:r>
      <w:r w:rsidRPr="002711B7">
        <w:rPr>
          <w:sz w:val="28"/>
        </w:rPr>
        <w:t>Как устанавливаются дорожные знаки вне населенных</w:t>
      </w:r>
      <w:r w:rsidRPr="002711B7">
        <w:rPr>
          <w:spacing w:val="-23"/>
          <w:sz w:val="28"/>
        </w:rPr>
        <w:t xml:space="preserve"> </w:t>
      </w:r>
      <w:r w:rsidRPr="002711B7">
        <w:rPr>
          <w:sz w:val="28"/>
        </w:rPr>
        <w:t>пунктов?</w:t>
      </w:r>
    </w:p>
    <w:p w14:paraId="73F66E1F" w14:textId="4895167A" w:rsidR="002711B7" w:rsidRPr="002711B7" w:rsidRDefault="002711B7" w:rsidP="002711B7">
      <w:pPr>
        <w:pStyle w:val="a5"/>
        <w:numPr>
          <w:ilvl w:val="2"/>
          <w:numId w:val="5"/>
        </w:numPr>
        <w:tabs>
          <w:tab w:val="left" w:pos="2202"/>
        </w:tabs>
        <w:spacing w:before="9"/>
        <w:rPr>
          <w:sz w:val="28"/>
        </w:rPr>
      </w:pPr>
      <w:r w:rsidRPr="002711B7">
        <w:rPr>
          <w:sz w:val="28"/>
        </w:rPr>
        <w:t>Как устанавливаются светофоры на улично-дорожной</w:t>
      </w:r>
      <w:r w:rsidRPr="002711B7">
        <w:rPr>
          <w:spacing w:val="-8"/>
          <w:sz w:val="28"/>
        </w:rPr>
        <w:t xml:space="preserve"> </w:t>
      </w:r>
      <w:r w:rsidRPr="002711B7">
        <w:rPr>
          <w:sz w:val="28"/>
        </w:rPr>
        <w:t>сети?</w:t>
      </w:r>
    </w:p>
    <w:p w14:paraId="4FEB9877" w14:textId="506F57E7" w:rsidR="002711B7" w:rsidRPr="002711B7" w:rsidRDefault="002711B7" w:rsidP="002711B7">
      <w:pPr>
        <w:pStyle w:val="a5"/>
        <w:numPr>
          <w:ilvl w:val="2"/>
          <w:numId w:val="5"/>
        </w:numPr>
        <w:tabs>
          <w:tab w:val="left" w:pos="2202"/>
        </w:tabs>
        <w:spacing w:before="9"/>
        <w:rPr>
          <w:sz w:val="28"/>
        </w:rPr>
      </w:pPr>
      <w:r w:rsidRPr="002711B7">
        <w:rPr>
          <w:sz w:val="28"/>
        </w:rPr>
        <w:t>Как устанавливаются дорожные знаки в населенных</w:t>
      </w:r>
      <w:r w:rsidRPr="002711B7">
        <w:rPr>
          <w:spacing w:val="-18"/>
          <w:sz w:val="28"/>
        </w:rPr>
        <w:t xml:space="preserve"> </w:t>
      </w:r>
      <w:r w:rsidRPr="002711B7">
        <w:rPr>
          <w:sz w:val="28"/>
        </w:rPr>
        <w:t>пунктах?</w:t>
      </w:r>
    </w:p>
    <w:p w14:paraId="1C44FB27" w14:textId="54F837CC" w:rsidR="002711B7" w:rsidRPr="002711B7" w:rsidRDefault="002711B7" w:rsidP="002711B7">
      <w:pPr>
        <w:pStyle w:val="a5"/>
        <w:numPr>
          <w:ilvl w:val="2"/>
          <w:numId w:val="5"/>
        </w:numPr>
        <w:tabs>
          <w:tab w:val="left" w:pos="2202"/>
        </w:tabs>
        <w:spacing w:before="9"/>
        <w:rPr>
          <w:sz w:val="28"/>
        </w:rPr>
      </w:pPr>
      <w:r w:rsidRPr="002711B7">
        <w:rPr>
          <w:sz w:val="28"/>
        </w:rPr>
        <w:t>Способы установки дорожных знаков и</w:t>
      </w:r>
      <w:r w:rsidRPr="002711B7">
        <w:rPr>
          <w:spacing w:val="-8"/>
          <w:sz w:val="28"/>
        </w:rPr>
        <w:t xml:space="preserve"> </w:t>
      </w:r>
      <w:r w:rsidRPr="002711B7">
        <w:rPr>
          <w:sz w:val="28"/>
        </w:rPr>
        <w:t>светофоров?</w:t>
      </w:r>
    </w:p>
    <w:p w14:paraId="1D63CC8E" w14:textId="1A506231" w:rsidR="002711B7" w:rsidRPr="002711B7" w:rsidRDefault="002711B7" w:rsidP="002711B7">
      <w:pPr>
        <w:pStyle w:val="a5"/>
        <w:numPr>
          <w:ilvl w:val="2"/>
          <w:numId w:val="5"/>
        </w:numPr>
        <w:tabs>
          <w:tab w:val="left" w:pos="2202"/>
        </w:tabs>
        <w:spacing w:before="10"/>
        <w:rPr>
          <w:sz w:val="28"/>
        </w:rPr>
      </w:pPr>
      <w:r w:rsidRPr="002711B7">
        <w:rPr>
          <w:sz w:val="28"/>
        </w:rPr>
        <w:t>Как оценивается видимость ТСР для участников</w:t>
      </w:r>
      <w:r w:rsidRPr="002711B7">
        <w:rPr>
          <w:spacing w:val="-8"/>
          <w:sz w:val="28"/>
        </w:rPr>
        <w:t xml:space="preserve"> </w:t>
      </w:r>
      <w:r w:rsidRPr="002711B7">
        <w:rPr>
          <w:sz w:val="28"/>
        </w:rPr>
        <w:t>движения?</w:t>
      </w:r>
    </w:p>
    <w:p w14:paraId="18AB1EB5" w14:textId="57E04DF3" w:rsidR="002711B7" w:rsidRPr="002711B7" w:rsidRDefault="002711B7" w:rsidP="002711B7">
      <w:pPr>
        <w:tabs>
          <w:tab w:val="left" w:pos="2337"/>
          <w:tab w:val="left" w:pos="3781"/>
          <w:tab w:val="left" w:pos="5619"/>
        </w:tabs>
        <w:spacing w:before="9" w:line="244" w:lineRule="auto"/>
        <w:ind w:right="404"/>
        <w:rPr>
          <w:sz w:val="28"/>
        </w:rPr>
      </w:pPr>
      <w:r>
        <w:rPr>
          <w:sz w:val="28"/>
          <w:lang w:val="ru-RU"/>
        </w:rPr>
        <w:t xml:space="preserve">6.4.6 </w:t>
      </w:r>
      <w:r w:rsidRPr="002711B7">
        <w:rPr>
          <w:sz w:val="28"/>
        </w:rPr>
        <w:t>Установка</w:t>
      </w:r>
      <w:r w:rsidRPr="002711B7">
        <w:rPr>
          <w:sz w:val="28"/>
        </w:rPr>
        <w:tab/>
      </w:r>
      <w:proofErr w:type="gramStart"/>
      <w:r w:rsidRPr="002711B7">
        <w:rPr>
          <w:sz w:val="28"/>
        </w:rPr>
        <w:t xml:space="preserve">повторных </w:t>
      </w:r>
      <w:r w:rsidRPr="002711B7">
        <w:rPr>
          <w:spacing w:val="48"/>
          <w:sz w:val="28"/>
        </w:rPr>
        <w:t xml:space="preserve"> </w:t>
      </w:r>
      <w:r w:rsidRPr="002711B7">
        <w:rPr>
          <w:sz w:val="28"/>
        </w:rPr>
        <w:t>и</w:t>
      </w:r>
      <w:proofErr w:type="gramEnd"/>
      <w:r w:rsidRPr="002711B7">
        <w:rPr>
          <w:sz w:val="28"/>
        </w:rPr>
        <w:tab/>
        <w:t>дублирующих дорожных знаков и светофоров.</w:t>
      </w:r>
    </w:p>
    <w:p w14:paraId="77C5C54A" w14:textId="1294B486" w:rsidR="002711B7" w:rsidRPr="002711B7" w:rsidRDefault="002711B7" w:rsidP="002711B7">
      <w:pPr>
        <w:pStyle w:val="a5"/>
        <w:numPr>
          <w:ilvl w:val="2"/>
          <w:numId w:val="6"/>
        </w:numPr>
        <w:tabs>
          <w:tab w:val="left" w:pos="2202"/>
        </w:tabs>
        <w:spacing w:line="321" w:lineRule="exact"/>
        <w:rPr>
          <w:sz w:val="28"/>
        </w:rPr>
      </w:pPr>
      <w:r w:rsidRPr="002711B7">
        <w:rPr>
          <w:sz w:val="28"/>
        </w:rPr>
        <w:t>Какие знаете нормативные требования для размещения</w:t>
      </w:r>
      <w:r w:rsidRPr="002711B7">
        <w:rPr>
          <w:spacing w:val="-1"/>
          <w:sz w:val="28"/>
        </w:rPr>
        <w:t xml:space="preserve"> </w:t>
      </w:r>
      <w:r w:rsidRPr="002711B7">
        <w:rPr>
          <w:sz w:val="28"/>
        </w:rPr>
        <w:t>ТСР?</w:t>
      </w:r>
    </w:p>
    <w:p w14:paraId="3830A9EB" w14:textId="77777777" w:rsidR="00E764F3" w:rsidRDefault="00E764F3"/>
    <w:sectPr w:rsidR="00E764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8B0AC0"/>
    <w:multiLevelType w:val="multilevel"/>
    <w:tmpl w:val="398CFAB8"/>
    <w:lvl w:ilvl="0">
      <w:start w:val="6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D742104"/>
    <w:multiLevelType w:val="hybridMultilevel"/>
    <w:tmpl w:val="AE5ECF8E"/>
    <w:lvl w:ilvl="0" w:tplc="0116F872">
      <w:start w:val="3"/>
      <w:numFmt w:val="decimal"/>
      <w:lvlText w:val="%1"/>
      <w:lvlJc w:val="left"/>
      <w:pPr>
        <w:ind w:left="2201" w:hanging="633"/>
      </w:pPr>
      <w:rPr>
        <w:lang w:val="kk-KZ" w:eastAsia="kk-KZ" w:bidi="kk-KZ"/>
      </w:rPr>
    </w:lvl>
    <w:lvl w:ilvl="1" w:tplc="E5E66AA8">
      <w:start w:val="3"/>
      <w:numFmt w:val="decimal"/>
      <w:lvlText w:val="%1.%2"/>
      <w:lvlJc w:val="left"/>
      <w:pPr>
        <w:ind w:left="2201" w:hanging="633"/>
      </w:pPr>
      <w:rPr>
        <w:lang w:val="kk-KZ" w:eastAsia="kk-KZ" w:bidi="kk-KZ"/>
      </w:rPr>
    </w:lvl>
    <w:lvl w:ilvl="2" w:tplc="31ACF42E">
      <w:start w:val="1"/>
      <w:numFmt w:val="decimal"/>
      <w:lvlText w:val="%1.%2.%3"/>
      <w:lvlJc w:val="left"/>
      <w:pPr>
        <w:ind w:left="2201" w:hanging="63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kk-KZ" w:bidi="kk-KZ"/>
      </w:rPr>
    </w:lvl>
    <w:lvl w:ilvl="3" w:tplc="118EBDDE">
      <w:numFmt w:val="bullet"/>
      <w:lvlText w:val="•"/>
      <w:lvlJc w:val="left"/>
      <w:pPr>
        <w:ind w:left="4684" w:hanging="633"/>
      </w:pPr>
      <w:rPr>
        <w:lang w:val="kk-KZ" w:eastAsia="kk-KZ" w:bidi="kk-KZ"/>
      </w:rPr>
    </w:lvl>
    <w:lvl w:ilvl="4" w:tplc="69F6827C">
      <w:numFmt w:val="bullet"/>
      <w:lvlText w:val="•"/>
      <w:lvlJc w:val="left"/>
      <w:pPr>
        <w:ind w:left="5512" w:hanging="633"/>
      </w:pPr>
      <w:rPr>
        <w:lang w:val="kk-KZ" w:eastAsia="kk-KZ" w:bidi="kk-KZ"/>
      </w:rPr>
    </w:lvl>
    <w:lvl w:ilvl="5" w:tplc="69185664">
      <w:numFmt w:val="bullet"/>
      <w:lvlText w:val="•"/>
      <w:lvlJc w:val="left"/>
      <w:pPr>
        <w:ind w:left="6340" w:hanging="633"/>
      </w:pPr>
      <w:rPr>
        <w:lang w:val="kk-KZ" w:eastAsia="kk-KZ" w:bidi="kk-KZ"/>
      </w:rPr>
    </w:lvl>
    <w:lvl w:ilvl="6" w:tplc="8C3A04BC">
      <w:numFmt w:val="bullet"/>
      <w:lvlText w:val="•"/>
      <w:lvlJc w:val="left"/>
      <w:pPr>
        <w:ind w:left="7168" w:hanging="633"/>
      </w:pPr>
      <w:rPr>
        <w:lang w:val="kk-KZ" w:eastAsia="kk-KZ" w:bidi="kk-KZ"/>
      </w:rPr>
    </w:lvl>
    <w:lvl w:ilvl="7" w:tplc="F6BC4CFE">
      <w:numFmt w:val="bullet"/>
      <w:lvlText w:val="•"/>
      <w:lvlJc w:val="left"/>
      <w:pPr>
        <w:ind w:left="7996" w:hanging="633"/>
      </w:pPr>
      <w:rPr>
        <w:lang w:val="kk-KZ" w:eastAsia="kk-KZ" w:bidi="kk-KZ"/>
      </w:rPr>
    </w:lvl>
    <w:lvl w:ilvl="8" w:tplc="16949CAE">
      <w:numFmt w:val="bullet"/>
      <w:lvlText w:val="•"/>
      <w:lvlJc w:val="left"/>
      <w:pPr>
        <w:ind w:left="8824" w:hanging="633"/>
      </w:pPr>
      <w:rPr>
        <w:lang w:val="kk-KZ" w:eastAsia="kk-KZ" w:bidi="kk-KZ"/>
      </w:rPr>
    </w:lvl>
  </w:abstractNum>
  <w:abstractNum w:abstractNumId="2" w15:restartNumberingAfterBreak="0">
    <w:nsid w:val="3E6601A7"/>
    <w:multiLevelType w:val="multilevel"/>
    <w:tmpl w:val="954C05D6"/>
    <w:lvl w:ilvl="0">
      <w:start w:val="6"/>
      <w:numFmt w:val="decimal"/>
      <w:lvlText w:val="%1"/>
      <w:lvlJc w:val="left"/>
      <w:pPr>
        <w:ind w:left="291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337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09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6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2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04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45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22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992" w:hanging="2160"/>
      </w:pPr>
      <w:rPr>
        <w:rFonts w:hint="default"/>
      </w:rPr>
    </w:lvl>
  </w:abstractNum>
  <w:abstractNum w:abstractNumId="3" w15:restartNumberingAfterBreak="0">
    <w:nsid w:val="43E2716F"/>
    <w:multiLevelType w:val="hybridMultilevel"/>
    <w:tmpl w:val="10249028"/>
    <w:lvl w:ilvl="0" w:tplc="B75CCDD2">
      <w:start w:val="3"/>
      <w:numFmt w:val="decimal"/>
      <w:lvlText w:val="%1"/>
      <w:lvlJc w:val="left"/>
      <w:pPr>
        <w:ind w:left="2764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kk-KZ" w:bidi="kk-KZ"/>
      </w:rPr>
    </w:lvl>
    <w:lvl w:ilvl="1" w:tplc="8578F0BA">
      <w:start w:val="1"/>
      <w:numFmt w:val="decimal"/>
      <w:lvlText w:val="%1.%2"/>
      <w:lvlJc w:val="left"/>
      <w:pPr>
        <w:ind w:left="5384" w:hanging="422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kk-KZ" w:eastAsia="kk-KZ" w:bidi="kk-KZ"/>
      </w:rPr>
    </w:lvl>
    <w:lvl w:ilvl="2" w:tplc="D1D224DE">
      <w:start w:val="1"/>
      <w:numFmt w:val="decimal"/>
      <w:lvlText w:val="%1.%2.%3"/>
      <w:lvlJc w:val="left"/>
      <w:pPr>
        <w:ind w:left="2456" w:hanging="63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kk-KZ" w:bidi="kk-KZ"/>
      </w:rPr>
    </w:lvl>
    <w:lvl w:ilvl="3" w:tplc="C974E652">
      <w:numFmt w:val="bullet"/>
      <w:lvlText w:val="•"/>
      <w:lvlJc w:val="left"/>
      <w:pPr>
        <w:ind w:left="5475" w:hanging="633"/>
      </w:pPr>
      <w:rPr>
        <w:lang w:val="kk-KZ" w:eastAsia="kk-KZ" w:bidi="kk-KZ"/>
      </w:rPr>
    </w:lvl>
    <w:lvl w:ilvl="4" w:tplc="7E480956">
      <w:numFmt w:val="bullet"/>
      <w:lvlText w:val="•"/>
      <w:lvlJc w:val="left"/>
      <w:pPr>
        <w:ind w:left="6226" w:hanging="633"/>
      </w:pPr>
      <w:rPr>
        <w:lang w:val="kk-KZ" w:eastAsia="kk-KZ" w:bidi="kk-KZ"/>
      </w:rPr>
    </w:lvl>
    <w:lvl w:ilvl="5" w:tplc="7624D3D4">
      <w:numFmt w:val="bullet"/>
      <w:lvlText w:val="•"/>
      <w:lvlJc w:val="left"/>
      <w:pPr>
        <w:ind w:left="6977" w:hanging="633"/>
      </w:pPr>
      <w:rPr>
        <w:lang w:val="kk-KZ" w:eastAsia="kk-KZ" w:bidi="kk-KZ"/>
      </w:rPr>
    </w:lvl>
    <w:lvl w:ilvl="6" w:tplc="072468A8">
      <w:numFmt w:val="bullet"/>
      <w:lvlText w:val="•"/>
      <w:lvlJc w:val="left"/>
      <w:pPr>
        <w:ind w:left="7729" w:hanging="633"/>
      </w:pPr>
      <w:rPr>
        <w:lang w:val="kk-KZ" w:eastAsia="kk-KZ" w:bidi="kk-KZ"/>
      </w:rPr>
    </w:lvl>
    <w:lvl w:ilvl="7" w:tplc="831EA368">
      <w:numFmt w:val="bullet"/>
      <w:lvlText w:val="•"/>
      <w:lvlJc w:val="left"/>
      <w:pPr>
        <w:ind w:left="8480" w:hanging="633"/>
      </w:pPr>
      <w:rPr>
        <w:lang w:val="kk-KZ" w:eastAsia="kk-KZ" w:bidi="kk-KZ"/>
      </w:rPr>
    </w:lvl>
    <w:lvl w:ilvl="8" w:tplc="58369306">
      <w:numFmt w:val="bullet"/>
      <w:lvlText w:val="•"/>
      <w:lvlJc w:val="left"/>
      <w:pPr>
        <w:ind w:left="9232" w:hanging="633"/>
      </w:pPr>
      <w:rPr>
        <w:lang w:val="kk-KZ" w:eastAsia="kk-KZ" w:bidi="kk-KZ"/>
      </w:rPr>
    </w:lvl>
  </w:abstractNum>
  <w:abstractNum w:abstractNumId="4" w15:restartNumberingAfterBreak="0">
    <w:nsid w:val="52F66850"/>
    <w:multiLevelType w:val="hybridMultilevel"/>
    <w:tmpl w:val="418CE6BE"/>
    <w:lvl w:ilvl="0" w:tplc="C5AA8886">
      <w:start w:val="3"/>
      <w:numFmt w:val="decimal"/>
      <w:lvlText w:val="%1"/>
      <w:lvlJc w:val="left"/>
      <w:pPr>
        <w:ind w:left="2201" w:hanging="633"/>
      </w:pPr>
      <w:rPr>
        <w:lang w:val="kk-KZ" w:eastAsia="kk-KZ" w:bidi="kk-KZ"/>
      </w:rPr>
    </w:lvl>
    <w:lvl w:ilvl="1" w:tplc="E51260B8">
      <w:start w:val="4"/>
      <w:numFmt w:val="decimal"/>
      <w:lvlText w:val="%1.%2"/>
      <w:lvlJc w:val="left"/>
      <w:pPr>
        <w:ind w:left="2201" w:hanging="633"/>
      </w:pPr>
      <w:rPr>
        <w:lang w:val="kk-KZ" w:eastAsia="kk-KZ" w:bidi="kk-KZ"/>
      </w:rPr>
    </w:lvl>
    <w:lvl w:ilvl="2" w:tplc="C82AA0AE">
      <w:start w:val="1"/>
      <w:numFmt w:val="decimal"/>
      <w:lvlText w:val="%1.%2.%3"/>
      <w:lvlJc w:val="left"/>
      <w:pPr>
        <w:ind w:left="2201" w:hanging="63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kk-KZ" w:bidi="kk-KZ"/>
      </w:rPr>
    </w:lvl>
    <w:lvl w:ilvl="3" w:tplc="BDCCE146">
      <w:numFmt w:val="bullet"/>
      <w:lvlText w:val="•"/>
      <w:lvlJc w:val="left"/>
      <w:pPr>
        <w:ind w:left="4684" w:hanging="633"/>
      </w:pPr>
      <w:rPr>
        <w:lang w:val="kk-KZ" w:eastAsia="kk-KZ" w:bidi="kk-KZ"/>
      </w:rPr>
    </w:lvl>
    <w:lvl w:ilvl="4" w:tplc="CAF00474">
      <w:numFmt w:val="bullet"/>
      <w:lvlText w:val="•"/>
      <w:lvlJc w:val="left"/>
      <w:pPr>
        <w:ind w:left="5512" w:hanging="633"/>
      </w:pPr>
      <w:rPr>
        <w:lang w:val="kk-KZ" w:eastAsia="kk-KZ" w:bidi="kk-KZ"/>
      </w:rPr>
    </w:lvl>
    <w:lvl w:ilvl="5" w:tplc="3358FED2">
      <w:numFmt w:val="bullet"/>
      <w:lvlText w:val="•"/>
      <w:lvlJc w:val="left"/>
      <w:pPr>
        <w:ind w:left="6340" w:hanging="633"/>
      </w:pPr>
      <w:rPr>
        <w:lang w:val="kk-KZ" w:eastAsia="kk-KZ" w:bidi="kk-KZ"/>
      </w:rPr>
    </w:lvl>
    <w:lvl w:ilvl="6" w:tplc="661477D4">
      <w:numFmt w:val="bullet"/>
      <w:lvlText w:val="•"/>
      <w:lvlJc w:val="left"/>
      <w:pPr>
        <w:ind w:left="7168" w:hanging="633"/>
      </w:pPr>
      <w:rPr>
        <w:lang w:val="kk-KZ" w:eastAsia="kk-KZ" w:bidi="kk-KZ"/>
      </w:rPr>
    </w:lvl>
    <w:lvl w:ilvl="7" w:tplc="82C4FBCC">
      <w:numFmt w:val="bullet"/>
      <w:lvlText w:val="•"/>
      <w:lvlJc w:val="left"/>
      <w:pPr>
        <w:ind w:left="7996" w:hanging="633"/>
      </w:pPr>
      <w:rPr>
        <w:lang w:val="kk-KZ" w:eastAsia="kk-KZ" w:bidi="kk-KZ"/>
      </w:rPr>
    </w:lvl>
    <w:lvl w:ilvl="8" w:tplc="56DED8CA">
      <w:numFmt w:val="bullet"/>
      <w:lvlText w:val="•"/>
      <w:lvlJc w:val="left"/>
      <w:pPr>
        <w:ind w:left="8824" w:hanging="633"/>
      </w:pPr>
      <w:rPr>
        <w:lang w:val="kk-KZ" w:eastAsia="kk-KZ" w:bidi="kk-KZ"/>
      </w:rPr>
    </w:lvl>
  </w:abstractNum>
  <w:abstractNum w:abstractNumId="5" w15:restartNumberingAfterBreak="0">
    <w:nsid w:val="6DDD7F10"/>
    <w:multiLevelType w:val="multilevel"/>
    <w:tmpl w:val="BF5014D8"/>
    <w:lvl w:ilvl="0">
      <w:start w:val="6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1A8"/>
    <w:rsid w:val="002711B7"/>
    <w:rsid w:val="00E764F3"/>
    <w:rsid w:val="00F34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B178D"/>
  <w15:chartTrackingRefBased/>
  <w15:docId w15:val="{AF5D247E-4B5F-47BA-8B60-E34D7CF53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1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kk-KZ" w:bidi="kk-KZ"/>
    </w:rPr>
  </w:style>
  <w:style w:type="paragraph" w:styleId="1">
    <w:name w:val="heading 1"/>
    <w:basedOn w:val="a"/>
    <w:link w:val="10"/>
    <w:uiPriority w:val="9"/>
    <w:qFormat/>
    <w:rsid w:val="002711B7"/>
    <w:pPr>
      <w:ind w:left="4174" w:hanging="42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11B7"/>
    <w:rPr>
      <w:rFonts w:ascii="Times New Roman" w:eastAsia="Times New Roman" w:hAnsi="Times New Roman" w:cs="Times New Roman"/>
      <w:b/>
      <w:bCs/>
      <w:sz w:val="28"/>
      <w:szCs w:val="28"/>
      <w:lang w:val="kk-KZ" w:eastAsia="kk-KZ" w:bidi="kk-KZ"/>
    </w:rPr>
  </w:style>
  <w:style w:type="paragraph" w:styleId="a3">
    <w:name w:val="Body Text"/>
    <w:basedOn w:val="a"/>
    <w:link w:val="a4"/>
    <w:uiPriority w:val="1"/>
    <w:semiHidden/>
    <w:unhideWhenUsed/>
    <w:qFormat/>
    <w:rsid w:val="002711B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2711B7"/>
    <w:rPr>
      <w:rFonts w:ascii="Times New Roman" w:eastAsia="Times New Roman" w:hAnsi="Times New Roman" w:cs="Times New Roman"/>
      <w:sz w:val="28"/>
      <w:szCs w:val="28"/>
      <w:lang w:val="kk-KZ" w:eastAsia="kk-KZ" w:bidi="kk-KZ"/>
    </w:rPr>
  </w:style>
  <w:style w:type="paragraph" w:styleId="a5">
    <w:name w:val="List Paragraph"/>
    <w:basedOn w:val="a"/>
    <w:uiPriority w:val="1"/>
    <w:qFormat/>
    <w:rsid w:val="002711B7"/>
    <w:pPr>
      <w:ind w:left="1789" w:hanging="63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412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810</Words>
  <Characters>4618</Characters>
  <Application>Microsoft Office Word</Application>
  <DocSecurity>0</DocSecurity>
  <Lines>38</Lines>
  <Paragraphs>10</Paragraphs>
  <ScaleCrop>false</ScaleCrop>
  <Company/>
  <LinksUpToDate>false</LinksUpToDate>
  <CharactersWithSpaces>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2020-10-10T02:27:00Z</dcterms:created>
  <dcterms:modified xsi:type="dcterms:W3CDTF">2020-10-10T02:30:00Z</dcterms:modified>
</cp:coreProperties>
</file>