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D7E" w:rsidRDefault="00572D7E" w:rsidP="00572D7E">
      <w:pPr>
        <w:suppressAutoHyphens/>
        <w:ind w:firstLine="851"/>
        <w:jc w:val="center"/>
        <w:rPr>
          <w:sz w:val="28"/>
          <w:szCs w:val="28"/>
        </w:rPr>
      </w:pPr>
      <w:r w:rsidRPr="00430C95">
        <w:rPr>
          <w:color w:val="000000"/>
          <w:sz w:val="28"/>
          <w:szCs w:val="28"/>
        </w:rPr>
        <w:t>6 ЭКОЛОГИЧЕСКИЕ ТРЕБОВАНИЯ ПРИ ИСПОЛЬЗОВАНИИ ЗЕМЕЛЬ ЛЕСНОГО ФОНДА</w:t>
      </w:r>
      <w:bookmarkStart w:id="0" w:name="z921"/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Режим использования земель лесного фонда регулируется Земельным и Лесным кодексами Республики Казахстан.</w:t>
      </w:r>
      <w:bookmarkStart w:id="1" w:name="z922"/>
      <w:bookmarkEnd w:id="0"/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Экологическим критерием при отнесении земель к категории лесного фонда следует считать состояние растительности как индикатора экологического состояния территории.</w:t>
      </w:r>
      <w:bookmarkStart w:id="2" w:name="z923"/>
      <w:bookmarkEnd w:id="1"/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Не используемые для нужд лесного хозяйства сельскохозяйственные угодья на землях лесного фонда могут быть переведены в категорию земель сельскохозяйственного назначения в соответствии с лесным законодательством Республики Казахстан.</w:t>
      </w:r>
      <w:bookmarkStart w:id="3" w:name="z924"/>
      <w:bookmarkEnd w:id="2"/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Перевод земель лесного фонда в другую категорию земель допускается при наличии положительного заключения государственной экологической экспертизы в соответствии с требованиями лесного законодательства Республики Казахстан на основании материалов лесоустройства и землеустройства в случае:</w:t>
      </w:r>
      <w:bookmarkEnd w:id="3"/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1) невозможности использования в соответствии с ранее установленным целевым назначением;</w:t>
      </w:r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2) изменения черты поселений;</w:t>
      </w:r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3) изменения границ (черты) населенных пунктов;</w:t>
      </w:r>
    </w:p>
    <w:p w:rsidR="00572D7E" w:rsidRDefault="00572D7E" w:rsidP="00572D7E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4) отнесения к землям особо охраняемых природных территорий.</w:t>
      </w:r>
      <w:bookmarkStart w:id="4" w:name="z925"/>
    </w:p>
    <w:p w:rsidR="00572D7E" w:rsidRDefault="00572D7E" w:rsidP="00572D7E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При переводе земель лесного фонда в другие категории следует учитывать экологические показатели, отражающие влияние состояния земель на травяную и древесную растительность в соответствии с экологическими критериями оценки земель.</w:t>
      </w:r>
    </w:p>
    <w:p w:rsidR="00572D7E" w:rsidRDefault="00572D7E" w:rsidP="00572D7E">
      <w:pPr>
        <w:suppressAutoHyphens/>
        <w:ind w:firstLine="851"/>
        <w:jc w:val="both"/>
        <w:rPr>
          <w:color w:val="000000"/>
          <w:sz w:val="28"/>
        </w:rPr>
      </w:pPr>
    </w:p>
    <w:p w:rsidR="00572D7E" w:rsidRDefault="00572D7E" w:rsidP="00572D7E">
      <w:pPr>
        <w:suppressAutoHyphens/>
        <w:ind w:firstLine="851"/>
        <w:jc w:val="both"/>
        <w:rPr>
          <w:color w:val="000000"/>
          <w:sz w:val="28"/>
        </w:rPr>
      </w:pPr>
    </w:p>
    <w:p w:rsidR="00572D7E" w:rsidRDefault="00572D7E" w:rsidP="00572D7E">
      <w:pPr>
        <w:suppressAutoHyphens/>
        <w:ind w:firstLine="851"/>
        <w:jc w:val="both"/>
        <w:rPr>
          <w:color w:val="000000"/>
          <w:sz w:val="28"/>
        </w:rPr>
      </w:pPr>
    </w:p>
    <w:p w:rsidR="00572D7E" w:rsidRDefault="00572D7E" w:rsidP="00572D7E">
      <w:pPr>
        <w:suppressAutoHyphens/>
        <w:ind w:firstLine="851"/>
        <w:jc w:val="both"/>
        <w:rPr>
          <w:color w:val="000000"/>
          <w:sz w:val="28"/>
        </w:rPr>
      </w:pPr>
    </w:p>
    <w:p w:rsidR="00572D7E" w:rsidRPr="00430C95" w:rsidRDefault="00572D7E" w:rsidP="00572D7E">
      <w:pPr>
        <w:suppressAutoHyphens/>
        <w:ind w:firstLine="851"/>
        <w:jc w:val="both"/>
        <w:rPr>
          <w:sz w:val="28"/>
          <w:szCs w:val="28"/>
        </w:rPr>
      </w:pPr>
    </w:p>
    <w:p w:rsidR="00A45712" w:rsidRDefault="00A45712">
      <w:bookmarkStart w:id="5" w:name="_GoBack"/>
      <w:bookmarkEnd w:id="4"/>
      <w:bookmarkEnd w:id="5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46"/>
    <w:rsid w:val="00165046"/>
    <w:rsid w:val="00572D7E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51CFAA-049D-4DD7-8C20-2EB325C0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D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Company>diakov.net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2020-04-05T18:36:00Z</dcterms:created>
  <dcterms:modified xsi:type="dcterms:W3CDTF">2020-04-05T18:36:00Z</dcterms:modified>
</cp:coreProperties>
</file>