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062" w:rsidRDefault="009F389E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СРО2</w:t>
      </w: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Pr="009F389E" w:rsidRDefault="009F389E" w:rsidP="009F389E">
      <w:pPr>
        <w:pStyle w:val="a3"/>
        <w:numPr>
          <w:ilvl w:val="0"/>
          <w:numId w:val="1"/>
        </w:numPr>
        <w:spacing w:before="0" w:beforeAutospacing="0" w:after="0" w:afterAutospacing="0"/>
        <w:rPr>
          <w:rFonts w:ascii="Times New Roman" w:hAnsi="Times New Roman"/>
          <w:b/>
          <w:color w:val="000000"/>
          <w:sz w:val="24"/>
          <w:szCs w:val="24"/>
          <w:lang w:val="kk-KZ"/>
        </w:rPr>
      </w:pPr>
      <w:r>
        <w:rPr>
          <w:rFonts w:ascii="Times New Roman" w:hAnsi="Times New Roman"/>
          <w:color w:val="000000"/>
          <w:sz w:val="24"/>
          <w:szCs w:val="24"/>
          <w:lang w:val="kk-KZ"/>
        </w:rPr>
        <w:t>Қосалқы тсанцияны найзағайдың түсуінен қорғау үшін қандай шаралар қолданылады?</w:t>
      </w:r>
    </w:p>
    <w:p w:rsidR="009F389E" w:rsidRPr="009F389E" w:rsidRDefault="009F389E" w:rsidP="009F389E">
      <w:pPr>
        <w:pStyle w:val="a3"/>
        <w:numPr>
          <w:ilvl w:val="0"/>
          <w:numId w:val="1"/>
        </w:numPr>
        <w:spacing w:before="0" w:beforeAutospacing="0" w:after="0" w:afterAutospacing="0"/>
        <w:rPr>
          <w:rFonts w:ascii="Times New Roman" w:hAnsi="Times New Roman"/>
          <w:b/>
          <w:color w:val="000000"/>
          <w:sz w:val="24"/>
          <w:szCs w:val="24"/>
          <w:lang w:val="kk-KZ"/>
        </w:rPr>
      </w:pPr>
      <w:r>
        <w:rPr>
          <w:rFonts w:ascii="Times New Roman" w:hAnsi="Times New Roman"/>
          <w:color w:val="000000"/>
          <w:sz w:val="24"/>
          <w:szCs w:val="24"/>
          <w:lang w:val="kk-KZ"/>
        </w:rPr>
        <w:t>Найзағай өткізгіштерді орнату түрлері</w:t>
      </w:r>
    </w:p>
    <w:p w:rsidR="009F389E" w:rsidRPr="009F389E" w:rsidRDefault="009F389E" w:rsidP="009F389E">
      <w:pPr>
        <w:pStyle w:val="a3"/>
        <w:numPr>
          <w:ilvl w:val="0"/>
          <w:numId w:val="1"/>
        </w:numPr>
        <w:spacing w:before="0" w:beforeAutospacing="0" w:after="0" w:afterAutospacing="0"/>
        <w:rPr>
          <w:rFonts w:ascii="Times New Roman" w:hAnsi="Times New Roman"/>
          <w:b/>
          <w:color w:val="000000"/>
          <w:sz w:val="24"/>
          <w:szCs w:val="24"/>
          <w:lang w:val="kk-KZ"/>
        </w:rPr>
      </w:pPr>
      <w:r>
        <w:rPr>
          <w:rFonts w:ascii="Times New Roman" w:hAnsi="Times New Roman"/>
          <w:color w:val="000000"/>
          <w:sz w:val="24"/>
          <w:szCs w:val="24"/>
          <w:lang w:val="kk-KZ"/>
        </w:rPr>
        <w:t>Қай жағдайда найзағай өткізгіштерді трансформатор порталдарына орналастыруға болады?</w:t>
      </w:r>
    </w:p>
    <w:p w:rsidR="009F389E" w:rsidRPr="009F389E" w:rsidRDefault="009F389E" w:rsidP="009F389E">
      <w:pPr>
        <w:pStyle w:val="a3"/>
        <w:numPr>
          <w:ilvl w:val="0"/>
          <w:numId w:val="1"/>
        </w:numPr>
        <w:spacing w:before="0" w:beforeAutospacing="0" w:after="0" w:afterAutospacing="0"/>
        <w:rPr>
          <w:rFonts w:ascii="Times New Roman" w:hAnsi="Times New Roman"/>
          <w:b/>
          <w:color w:val="000000"/>
          <w:sz w:val="24"/>
          <w:szCs w:val="24"/>
          <w:lang w:val="kk-KZ"/>
        </w:rPr>
      </w:pPr>
      <w:r>
        <w:rPr>
          <w:rFonts w:ascii="Times New Roman" w:hAnsi="Times New Roman"/>
          <w:color w:val="000000"/>
          <w:sz w:val="24"/>
          <w:szCs w:val="24"/>
          <w:lang w:val="kk-KZ"/>
        </w:rPr>
        <w:t>Қосалқы станцияға кіріс (подход) дегеніміз не, ол не үшін қажет?</w:t>
      </w:r>
    </w:p>
    <w:p w:rsidR="009F389E" w:rsidRDefault="009F389E" w:rsidP="009F389E">
      <w:pPr>
        <w:pStyle w:val="a3"/>
        <w:numPr>
          <w:ilvl w:val="0"/>
          <w:numId w:val="1"/>
        </w:numPr>
        <w:spacing w:before="0" w:beforeAutospacing="0" w:after="0" w:afterAutospacing="0"/>
        <w:rPr>
          <w:rFonts w:ascii="Times New Roman" w:hAnsi="Times New Roman"/>
          <w:b/>
          <w:color w:val="000000"/>
          <w:sz w:val="24"/>
          <w:szCs w:val="24"/>
          <w:lang w:val="kk-KZ"/>
        </w:rPr>
      </w:pPr>
      <w:r>
        <w:rPr>
          <w:rFonts w:ascii="Times New Roman" w:hAnsi="Times New Roman"/>
          <w:color w:val="000000"/>
          <w:sz w:val="24"/>
          <w:szCs w:val="24"/>
          <w:lang w:val="kk-KZ"/>
        </w:rPr>
        <w:t>Найзағай өткізгіш аймағын есептеу әдістері</w:t>
      </w: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Pr="009F389E" w:rsidRDefault="009F389E" w:rsidP="009F389E">
      <w:pPr>
        <w:pStyle w:val="a3"/>
        <w:tabs>
          <w:tab w:val="left" w:pos="1125"/>
        </w:tabs>
        <w:spacing w:before="0" w:beforeAutospacing="0" w:after="0" w:afterAutospacing="0"/>
        <w:rPr>
          <w:rFonts w:ascii="Times New Roman" w:hAnsi="Times New Roman"/>
          <w:b/>
          <w:color w:val="FF0000"/>
          <w:sz w:val="24"/>
          <w:szCs w:val="24"/>
          <w:lang w:val="kk-KZ"/>
        </w:rPr>
      </w:pPr>
      <w:r>
        <w:rPr>
          <w:rFonts w:ascii="Times New Roman" w:hAnsi="Times New Roman"/>
          <w:b/>
          <w:color w:val="000000"/>
          <w:sz w:val="24"/>
          <w:szCs w:val="24"/>
          <w:lang w:val="kk-KZ"/>
        </w:rPr>
        <w:tab/>
      </w:r>
      <w:r>
        <w:rPr>
          <w:rFonts w:ascii="Times New Roman" w:hAnsi="Times New Roman"/>
          <w:b/>
          <w:color w:val="FF0000"/>
          <w:sz w:val="24"/>
          <w:szCs w:val="24"/>
          <w:lang w:val="kk-KZ"/>
        </w:rPr>
        <w:t>(сұрақтарға жазбаша түрде жауап қайтарыңыз)</w:t>
      </w: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ind w:left="0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2921D0">
        <w:rPr>
          <w:rFonts w:ascii="Times New Roman" w:hAnsi="Times New Roman"/>
          <w:b/>
          <w:color w:val="000000"/>
          <w:sz w:val="24"/>
          <w:szCs w:val="24"/>
        </w:rPr>
        <w:t>Защита от прямых ударов молнии (ПУМ)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В ПЭУ сказано [1]: ОРУ-35-500 кВ должны быть защищены от прямых ударов молнии (ПУМ). </w:t>
      </w:r>
      <w:r w:rsidRPr="006A4BC2">
        <w:rPr>
          <w:rFonts w:ascii="Times New Roman" w:hAnsi="Times New Roman"/>
          <w:color w:val="FF0000"/>
          <w:sz w:val="24"/>
          <w:szCs w:val="24"/>
        </w:rPr>
        <w:t>Открытые подстанции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 защищаются от прямых ударов молнии стержневыми молниеотводами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 xml:space="preserve"> .</w:t>
      </w:r>
      <w:proofErr w:type="gramEnd"/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Возможны два способа защиты подстанций.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1. Установка молниеотводов на конструкциях и подсоединение их к общему заземляющему устройству подстанции (рис.6.1,а).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2. Установка отдельно стоящих молниеотводов со своими обособленными заземлениями (рис.6.1,б).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Первый способ защиты дешевле, так как требует значительно меньше металла на изготовление молниеотводов и заземляющих устройств. По этому способу используется высота конструкций, и молниеотводы получаются меньшей высоты, так как они ближе расположены к защищаемому оборудованию и эффективнее используются их защитные зоны. Однако при поражении такого молниеотвода ударом молнии с большой амплитудой тока и высокой крутизной фронта волны значительно возрастает напряжение на заземленных конструкциях с молниеотводами. Это может привести к перекрытию изоляции между токоведущими частями и заземленными конструкциями, что снижает надежность этого способа защиты.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2381250" cy="1992630"/>
            <wp:effectExtent l="19050" t="0" r="0" b="0"/>
            <wp:docPr id="1" name="Рисунок 1" descr="http://konspekta.net/studopediaorg/baza8/1419586061885.files/image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konspekta.net/studopediaorg/baza8/1419586061885.files/image05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992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3329940" cy="2183765"/>
            <wp:effectExtent l="19050" t="0" r="3810" b="0"/>
            <wp:docPr id="2" name="Рисунок 2" descr="http://konspekta.net/studopediaorg/baza8/1419586061885.files/image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konspekta.net/studopediaorg/baza8/1419586061885.files/image06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940" cy="2183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Рис.6.1. Установка молниеотводов: а) на конструкциях и подсоединение их к общему заземляющему устройству подстанции; б) отдельно стоящих со своими обособленными заземлениями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 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Отдельно стоящие молниеотводы 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с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обособленными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заземлителями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 можно установить так, что практически полностью исключаются перекрытия с заземленных молниеотводов на токоведущие части подстанции. Поэтому второй способ защиты </w:t>
      </w:r>
      <w:r w:rsidRPr="0005798C">
        <w:rPr>
          <w:rFonts w:ascii="Times New Roman" w:hAnsi="Times New Roman"/>
          <w:color w:val="FF0000"/>
          <w:sz w:val="24"/>
          <w:szCs w:val="24"/>
        </w:rPr>
        <w:t>оказывается надежнее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, но </w:t>
      </w:r>
      <w:r w:rsidRPr="0005798C">
        <w:rPr>
          <w:rFonts w:ascii="Times New Roman" w:hAnsi="Times New Roman"/>
          <w:color w:val="FF0000"/>
          <w:sz w:val="24"/>
          <w:szCs w:val="24"/>
        </w:rPr>
        <w:t>дороже</w:t>
      </w:r>
      <w:r w:rsidRPr="002921D0">
        <w:rPr>
          <w:rFonts w:ascii="Times New Roman" w:hAnsi="Times New Roman"/>
          <w:color w:val="000000"/>
          <w:sz w:val="24"/>
          <w:szCs w:val="24"/>
        </w:rPr>
        <w:t>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При выборе оптимального варианта были определены стоимости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молниезащит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 обоих способов и ущербы, которые возникают при поражении подстанций молнией. На основании проведенных сравнений было установлено, что в большинстве случаев предпочтительнее первый способ защиты, а второй способ следует применять лишь тогда, когда первый не обеспечивает 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необходимую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грозоупорность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>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В ПУЭ [1] приведены условия установки молниеотводов на конструкциях. Основные положения этих условий следующие. Защиту от </w:t>
      </w:r>
      <w:r w:rsidRPr="0005798C">
        <w:rPr>
          <w:rFonts w:ascii="Times New Roman" w:hAnsi="Times New Roman"/>
          <w:color w:val="FF0000"/>
          <w:sz w:val="24"/>
          <w:szCs w:val="24"/>
        </w:rPr>
        <w:t>прямых ударов молнии ОРУ 220 кВ и выше необходимо выполнять молниеотводами, устанавливаемыми на конструкциях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. Защиту ОРУ 110 кВ можно выполнять на конструкциях при эквивалентном удельном сопротивлении грунта в грозовой сезон </w:t>
      </w: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504825" cy="184150"/>
            <wp:effectExtent l="19050" t="0" r="9525" b="0"/>
            <wp:docPr id="3" name="Рисунок 3" descr="http://konspekta.net/studopediaorg/baza8/1419586061885.files/image0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konspekta.net/studopediaorg/baza8/1419586061885.files/image063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18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Ом×м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, а защиту ОРУ 35 кВ – 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при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457200" cy="163830"/>
            <wp:effectExtent l="19050" t="0" r="0" b="0"/>
            <wp:docPr id="4" name="Рисунок 4" descr="http://konspekta.net/studopediaorg/baza8/1419586061885.files/image0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konspekta.net/studopediaorg/baza8/1419586061885.files/image065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163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Ом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>×м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5798C">
        <w:rPr>
          <w:rFonts w:ascii="Times New Roman" w:hAnsi="Times New Roman"/>
          <w:color w:val="FF0000"/>
          <w:sz w:val="24"/>
          <w:szCs w:val="24"/>
        </w:rPr>
        <w:t>Молниеотводы можно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 устанавливать на следующих конструкциях: </w:t>
      </w:r>
      <w:r w:rsidRPr="002921D0">
        <w:rPr>
          <w:rFonts w:ascii="Times New Roman" w:hAnsi="Times New Roman"/>
          <w:color w:val="000000"/>
          <w:sz w:val="24"/>
          <w:szCs w:val="24"/>
        </w:rPr>
        <w:lastRenderedPageBreak/>
        <w:t>порталах, опорах линий, прожекторных мачтах, закрытых распределительных устройствах (ЗРУ).</w:t>
      </w:r>
    </w:p>
    <w:p w:rsidR="009F389E" w:rsidRDefault="009F389E" w:rsidP="009F389E">
      <w:pPr>
        <w:pStyle w:val="a3"/>
        <w:spacing w:before="0" w:beforeAutospacing="0" w:after="0" w:afterAutospacing="0"/>
        <w:jc w:val="both"/>
        <w:rPr>
          <w:rStyle w:val="a4"/>
          <w:rFonts w:ascii="Times New Roman" w:hAnsi="Times New Roman"/>
          <w:color w:val="000000"/>
          <w:sz w:val="24"/>
          <w:szCs w:val="24"/>
        </w:rPr>
      </w:pP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Style w:val="a4"/>
          <w:rFonts w:ascii="Times New Roman" w:hAnsi="Times New Roman"/>
          <w:color w:val="000000"/>
          <w:sz w:val="24"/>
          <w:szCs w:val="24"/>
        </w:rPr>
        <w:t>При каких условиях допускается установка молнии отводов на трансформаторных порталах?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Защиту подстанций от прямых ударов молнии обычно выполняют молниеотводами, устанавливаемыми на конструкциях: порталах, ЗРУ и др. Из всех конструкций самое слабое место на подстанции - это </w:t>
      </w:r>
      <w:r w:rsidRPr="00FF264A">
        <w:rPr>
          <w:rFonts w:ascii="Times New Roman" w:hAnsi="Times New Roman"/>
          <w:color w:val="FF0000"/>
          <w:sz w:val="24"/>
          <w:szCs w:val="24"/>
        </w:rPr>
        <w:t>трансформаторный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 портал. При ударе молнии в этот портал возможен пробой изоляции </w:t>
      </w:r>
      <w:r w:rsidRPr="00FF264A">
        <w:rPr>
          <w:rFonts w:ascii="Times New Roman" w:hAnsi="Times New Roman"/>
          <w:color w:val="FF0000"/>
          <w:sz w:val="24"/>
          <w:szCs w:val="24"/>
        </w:rPr>
        <w:t>между корпусом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 трансформатора и низковольтной обмоткой. Поэтому на трансформаторном портале рекомендуется устанавливать молниеотводы только в том случае, когда нет других конструкций (например, ЗРУ).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При этом на трансформаторных порталах допускается установка молниеотводов при соблюдении условий установки молниеотводов на конструкциях и выполнении следующих дополнительных условий [1, с.57].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1. Удельное сопротивление грунта в грозовой сезон должно быть не более 350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Ом×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м</w:t>
      </w:r>
      <w:proofErr w:type="spellEnd"/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>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2. Место присоединения конструкции с молниеотводом к заземляющему устройству должно быть удалено по магистралям заземления от места присоединения к нему бака трансформатора на расстояние </w:t>
      </w:r>
      <w:r w:rsidRPr="00FF264A">
        <w:rPr>
          <w:rFonts w:ascii="Times New Roman" w:hAnsi="Times New Roman"/>
          <w:color w:val="FF0000"/>
          <w:sz w:val="24"/>
          <w:szCs w:val="24"/>
        </w:rPr>
        <w:t>не менее 15 м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 (рис.7.1).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3950970" cy="2586355"/>
            <wp:effectExtent l="19050" t="0" r="0" b="0"/>
            <wp:docPr id="39" name="Рисунок 39" descr="http://konspekta.net/studopediaorg/baza8/1419586061885.files/image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konspekta.net/studopediaorg/baza8/1419586061885.files/image06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0970" cy="2586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Рис. 7.1. Установка молниеотводов на трансформаторном портале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3. Непосредственно на выводах обмоток 3 – 35 кВ трансформаторов или на расстоянии не более 5 м от них по ошиновке, включая ответвления к разрядникам, должны 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быть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 xml:space="preserve"> установлены соответствующие ОПН 3-35 кВ или РВ.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4. Заземляющие проводники РВ или ОПН и силовых трансформаторов рекомендуется присоединять к заземляющему устройству поблизости </w:t>
      </w:r>
      <w:r w:rsidRPr="00FF264A">
        <w:rPr>
          <w:rFonts w:ascii="Times New Roman" w:hAnsi="Times New Roman"/>
          <w:color w:val="FF0000"/>
          <w:sz w:val="24"/>
          <w:szCs w:val="24"/>
        </w:rPr>
        <w:t>один от другого</w:t>
      </w:r>
      <w:r w:rsidRPr="002921D0">
        <w:rPr>
          <w:rFonts w:ascii="Times New Roman" w:hAnsi="Times New Roman"/>
          <w:color w:val="000000"/>
          <w:sz w:val="24"/>
          <w:szCs w:val="24"/>
        </w:rPr>
        <w:t>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5. Должно быть обеспечено растекание тока молнии от стойки конструкции с молниеотводом по трем-четырем направлениям с углом не менее </w:t>
      </w:r>
      <w:r w:rsidRPr="00FF264A">
        <w:rPr>
          <w:rFonts w:ascii="Times New Roman" w:hAnsi="Times New Roman"/>
          <w:color w:val="FF0000"/>
          <w:sz w:val="24"/>
          <w:szCs w:val="24"/>
        </w:rPr>
        <w:t>90º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 между ними (рис.7.2).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6. На каждом направлении, на расстоянии 3-5 м от стойки молниеотвода, должно быть установлено по одному вертикальному электроду длиной 5 м.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3467953" cy="1767007"/>
            <wp:effectExtent l="19050" t="0" r="0" b="0"/>
            <wp:docPr id="40" name="Рисунок 40" descr="http://konspekta.net/studopediaorg/baza8/1419586061885.files/image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konspekta.net/studopediaorg/baza8/1419586061885.files/image06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758" cy="17669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Рис.7.2. Снижение импульсного сопротивления молниеотвода</w:t>
      </w:r>
    </w:p>
    <w:p w:rsidR="009F389E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7. На подстанциях с высшим напряжением 35 кВ сопротивление заземляющего контура не должно превышать 4 Ом, о гирлянды изоляторов на порталах ОРУ 35 кВ следует выполнять на класс напряжения 110 кВ.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Style w:val="a4"/>
          <w:rFonts w:ascii="Times New Roman" w:hAnsi="Times New Roman"/>
          <w:color w:val="000000"/>
          <w:sz w:val="24"/>
          <w:szCs w:val="24"/>
        </w:rPr>
      </w:pPr>
      <w:r w:rsidRPr="002921D0">
        <w:rPr>
          <w:rStyle w:val="a4"/>
          <w:rFonts w:ascii="Times New Roman" w:hAnsi="Times New Roman"/>
          <w:color w:val="000000"/>
          <w:sz w:val="24"/>
          <w:szCs w:val="24"/>
        </w:rPr>
        <w:t>Что такое подход к подстанции, зачем он нужен, как выбрать его длину?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При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пробегании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 грозовой волны по ЛЭП под действием короны происходит деформация волны. Скорость волны υ </w:t>
      </w: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750570" cy="525145"/>
            <wp:effectExtent l="19050" t="0" r="0" b="0"/>
            <wp:docPr id="41" name="Рисунок 41" descr="http://konspekta.net/studopediaorg/baza8/1419586061885.files/image0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konspekta.net/studopediaorg/baza8/1419586061885.files/image071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525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, где </w:t>
      </w: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198120" cy="238760"/>
            <wp:effectExtent l="19050" t="0" r="0" b="0"/>
            <wp:docPr id="42" name="Рисунок 42" descr="http://konspekta.net/studopediaorg/baza8/1419586061885.files/image0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konspekta.net/studopediaorg/baza8/1419586061885.files/image073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- удельная индуктивность ЛЭП; </w:t>
      </w: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225425" cy="238760"/>
            <wp:effectExtent l="0" t="0" r="3175" b="0"/>
            <wp:docPr id="43" name="Рисунок 43" descr="http://konspekta.net/studopediaorg/baza8/1419586061885.files/image0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konspekta.net/studopediaorg/baza8/1419586061885.files/image075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2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21D0">
        <w:rPr>
          <w:rFonts w:ascii="Times New Roman" w:hAnsi="Times New Roman"/>
          <w:color w:val="000000"/>
          <w:sz w:val="24"/>
          <w:szCs w:val="24"/>
        </w:rPr>
        <w:t>- удельная паразитная емкость ЛЭП;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Чем большее расстояние пробегает волна, тем сильнее у нее заваливается фронт и </w:t>
      </w:r>
      <w:r w:rsidRPr="00FF264A">
        <w:rPr>
          <w:rFonts w:ascii="Times New Roman" w:hAnsi="Times New Roman"/>
          <w:color w:val="FF0000"/>
          <w:sz w:val="24"/>
          <w:szCs w:val="24"/>
        </w:rPr>
        <w:t>уменьшается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 амплитуда. Длина подхода выбирается так, чтобы волна при ударе молнии за подходом, пробежав подход, стала безопасной для подстанции. Длина подхода зависит от </w:t>
      </w:r>
      <w:r w:rsidRPr="00FF264A">
        <w:rPr>
          <w:rFonts w:ascii="Times New Roman" w:hAnsi="Times New Roman"/>
          <w:color w:val="FF0000"/>
          <w:sz w:val="24"/>
          <w:szCs w:val="24"/>
        </w:rPr>
        <w:t>класса напряжения, типа опор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 и составляет 1 – 4 км. Она указана в ПУЭ. Подход к подстанции (рис. 8.1) </w:t>
      </w:r>
      <w:r w:rsidRPr="00FF264A">
        <w:rPr>
          <w:rFonts w:ascii="Times New Roman" w:hAnsi="Times New Roman"/>
          <w:color w:val="FF0000"/>
          <w:sz w:val="24"/>
          <w:szCs w:val="24"/>
        </w:rPr>
        <w:t>длиной 1-4 км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 (если в данной местности число грозовых часов более 20 [1]) должен быть обязательно защищен тросом, даже 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для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 xml:space="preserve"> ЛЭП на деревянных опорах, где трос не нужен. Подход к подстанции должен быть защищен также тщательно, как и сама подстанция, чтобы исключить на нем прорыв, минуя трос и перекрытие гирлянд.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3950970" cy="2504440"/>
            <wp:effectExtent l="19050" t="0" r="0" b="0"/>
            <wp:docPr id="44" name="Рисунок 44" descr="http://konspekta.net/studopediaorg/baza8/1419586061885.files/image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konspekta.net/studopediaorg/baza8/1419586061885.files/image07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0970" cy="2504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Рис. 8.1. Подход к подстанции 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для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 xml:space="preserve"> ЛЭП на деревянных и металлических опорах</w:t>
      </w:r>
    </w:p>
    <w:p w:rsidR="009F389E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Это достигается следующими мерами [1]: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а) уменьшением сопротивления опор подхода R £ 10 Ом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 xml:space="preserve"> ;</w:t>
      </w:r>
      <w:proofErr w:type="gramEnd"/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б) уменьшением защитного угла троса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- для одностоечных опор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a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>£ 20 - 30°;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lastRenderedPageBreak/>
        <w:t xml:space="preserve">- для портальных опор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a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>£ 25 - 30°;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в) установкой трубчатых разрядников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- для ЛЭП на металлических и железобетонных опорах на первой опоре (РТ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1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>);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- для ЛЭП на деревянных опорах на первой и последней (РТ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2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>) опорах с тросом.</w:t>
      </w:r>
    </w:p>
    <w:p w:rsidR="009F389E" w:rsidRDefault="009F389E" w:rsidP="009F389E">
      <w:pPr>
        <w:pStyle w:val="a3"/>
        <w:spacing w:before="0" w:beforeAutospacing="0" w:after="0" w:afterAutospacing="0"/>
        <w:jc w:val="both"/>
        <w:rPr>
          <w:rStyle w:val="a4"/>
          <w:rFonts w:ascii="Times New Roman" w:hAnsi="Times New Roman"/>
          <w:color w:val="000000"/>
          <w:sz w:val="24"/>
          <w:szCs w:val="24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Style w:val="a4"/>
          <w:rFonts w:ascii="Times New Roman" w:hAnsi="Times New Roman"/>
          <w:color w:val="000000"/>
          <w:sz w:val="24"/>
          <w:szCs w:val="24"/>
        </w:rPr>
      </w:pPr>
      <w:r w:rsidRPr="002921D0">
        <w:rPr>
          <w:rStyle w:val="a4"/>
          <w:rFonts w:ascii="Times New Roman" w:hAnsi="Times New Roman"/>
          <w:color w:val="000000"/>
          <w:sz w:val="24"/>
          <w:szCs w:val="24"/>
        </w:rPr>
        <w:t>Три методики расчёта зон защиты молниеотводов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В настоящее время существуют три основные методики определения зон защиты стержневых молниеотводов.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Первая методика была предложена в ВЭИ на основе обширных лабораторных исследований, проведенных в 1936-1940 гг. А.А. Акопяном. По этой методике зона защиты одиночного молниеотвода представляет собой «шатер» (рис. 9.1). Объекты, находящиеся на границе этой зоны (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h</w:t>
      </w:r>
      <w:r w:rsidRPr="002921D0">
        <w:rPr>
          <w:rFonts w:ascii="Times New Roman" w:hAnsi="Times New Roman"/>
          <w:color w:val="000000"/>
          <w:sz w:val="24"/>
          <w:szCs w:val="24"/>
          <w:vertAlign w:val="subscript"/>
        </w:rPr>
        <w:t>x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), защищены с вероятностью 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Р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>≈0,999. Эта методика вошла в «Руководящие указания по расчету зон защиты стержневых и тросовых молниеотводов» [9].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2245360" cy="1439545"/>
            <wp:effectExtent l="19050" t="0" r="2540" b="0"/>
            <wp:docPr id="51" name="Рисунок 51" descr="http://konspekta.net/studopediaorg/baza8/1419586061885.files/image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konspekta.net/studopediaorg/baza8/1419586061885.files/image07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360" cy="1439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Рис. 9.1. Зона защиты одиночного молниеотвода по методике А.А. Акопяна</w:t>
      </w:r>
    </w:p>
    <w:p w:rsidR="009F389E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Затем была предложена упрощенная (вторая) методика расчета зоны защиты одиночного молниеотвода, в которой шатер заменен отрезками двух прямых (рис.9.2). Все расчетные формулы у этой методики такие же, как и у первой, поэтому и высота молниеотводов получается точно такой же. Вероятность защиты по этой методике снижена до 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Р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 xml:space="preserve">≈0,99. Эта методика использовалась в старом издании “Инструкции по устройству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молниезащиты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 зданий и сооружений”. В настоящее время Электротехнический справочник 2002 года [8] рекомендует ее для расчета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молниезащиты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 подстанций и ЛЭП вместо методики А.А. Акопяна.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 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2402205" cy="1692275"/>
            <wp:effectExtent l="19050" t="0" r="0" b="0"/>
            <wp:docPr id="52" name="Рисунок 52" descr="http://konspekta.net/studopediaorg/baza8/1419586061885.files/image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konspekta.net/studopediaorg/baza8/1419586061885.files/image08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2205" cy="169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Рис. 9.2. Упрощенная методика построения зоны защиты одиночного молниеотвода</w:t>
      </w:r>
    </w:p>
    <w:p w:rsidR="009F389E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Расчетные формулы этих методик были получены на моделях. Наблюдение на реальных молниеотводах показало, что молния не всегда бьет в вершину молниеотвода. Поэтому появилась третья методика, в которой вершина молниеотвода не защищена, а зона защиты одиночного молниеотвода представляет собой круговой конус высотой h</w:t>
      </w:r>
      <w:r w:rsidRPr="002921D0">
        <w:rPr>
          <w:rFonts w:ascii="Times New Roman" w:hAnsi="Times New Roman"/>
          <w:color w:val="000000"/>
          <w:sz w:val="24"/>
          <w:szCs w:val="24"/>
          <w:vertAlign w:val="subscript"/>
        </w:rPr>
        <w:t>0</w:t>
      </w:r>
      <w:r w:rsidRPr="002921D0">
        <w:rPr>
          <w:rFonts w:ascii="Times New Roman" w:hAnsi="Times New Roman"/>
          <w:color w:val="000000"/>
          <w:sz w:val="24"/>
          <w:szCs w:val="24"/>
        </w:rPr>
        <w:t>&lt;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h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 (рис. 9.3).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2626995" cy="1630680"/>
            <wp:effectExtent l="19050" t="0" r="1905" b="0"/>
            <wp:docPr id="53" name="Рисунок 53" descr="http://konspekta.net/studopediaorg/baza8/1419586061885.files/image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konspekta.net/studopediaorg/baza8/1419586061885.files/image08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995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Рис. 9.3. Зона защиты одиночного молниеотвода по третьей методике</w:t>
      </w:r>
    </w:p>
    <w:p w:rsidR="009F389E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Эта методика впервые была применена в новом издании “Инструкции по устройству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молниезащиты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 зданий и сооружений” 1989 г [11]. Надежность защиты по этой методике зависит от категории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молниезащиты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 зданий и сооружений в зависимости от наличия взрывоопасных и пожароопасных зон. Все здания и сооружения разбиты на I-III категории и защищаются зоной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 xml:space="preserve"> А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 xml:space="preserve"> (с надежностью 99,5%) или зоной Б (с надежностью 95%). Инструкция не распространялась на расчет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молниезащиты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 станций и подстанций, поэтому было рекомендовано защищать их 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по прежнему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 xml:space="preserve"> по первой методике [8]. Эту методику ПУЭ (6 издание) рекомендовало использовать лишь при защите зданий маслохозяйства, резервуаров с горючими жидкостями или газами и т.д., находящимися на территории подстанции.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Затем “Руководство по защите электрических сетей 6-1150кВ от грозовых и внутренних перенапряжений. СПб, 1999” [2] распространило эту методику и на расчет подстанций (до 750 кВ - зона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 xml:space="preserve"> А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>, а 750 кВ и выше – зона Б).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В дальнейшем методика была усовершенствована в соответствии с рекомендациями МЭК и используется в последнем издании “Инструкции по устройству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молниезащиты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 зданий и сооружений” [10]. Теперь надежность защиты по этой методике изменяется от 0,8 до 0,999 в зависимости от ущерба. Третья методика неудобна для расчетов, так как она позволяет определять высоты только 2 молниеотводов, а первая и вторая – трех или четырех сразу.</w:t>
      </w:r>
    </w:p>
    <w:p w:rsidR="009F389E" w:rsidRPr="009F389E" w:rsidRDefault="009F389E">
      <w:pPr>
        <w:rPr>
          <w:rFonts w:ascii="Times New Roman" w:hAnsi="Times New Roman" w:cs="Times New Roman"/>
          <w:sz w:val="28"/>
        </w:rPr>
      </w:pPr>
    </w:p>
    <w:sectPr w:rsidR="009F389E" w:rsidRPr="009F389E" w:rsidSect="00C860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E6D2B"/>
    <w:multiLevelType w:val="hybridMultilevel"/>
    <w:tmpl w:val="F886B880"/>
    <w:lvl w:ilvl="0" w:tplc="F61054C8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7" w:hanging="360"/>
      </w:pPr>
    </w:lvl>
    <w:lvl w:ilvl="2" w:tplc="0419001B" w:tentative="1">
      <w:start w:val="1"/>
      <w:numFmt w:val="lowerRoman"/>
      <w:lvlText w:val="%3."/>
      <w:lvlJc w:val="right"/>
      <w:pPr>
        <w:ind w:left="1907" w:hanging="180"/>
      </w:pPr>
    </w:lvl>
    <w:lvl w:ilvl="3" w:tplc="0419000F" w:tentative="1">
      <w:start w:val="1"/>
      <w:numFmt w:val="decimal"/>
      <w:lvlText w:val="%4."/>
      <w:lvlJc w:val="left"/>
      <w:pPr>
        <w:ind w:left="2627" w:hanging="360"/>
      </w:pPr>
    </w:lvl>
    <w:lvl w:ilvl="4" w:tplc="04190019" w:tentative="1">
      <w:start w:val="1"/>
      <w:numFmt w:val="lowerLetter"/>
      <w:lvlText w:val="%5."/>
      <w:lvlJc w:val="left"/>
      <w:pPr>
        <w:ind w:left="3347" w:hanging="360"/>
      </w:pPr>
    </w:lvl>
    <w:lvl w:ilvl="5" w:tplc="0419001B" w:tentative="1">
      <w:start w:val="1"/>
      <w:numFmt w:val="lowerRoman"/>
      <w:lvlText w:val="%6."/>
      <w:lvlJc w:val="right"/>
      <w:pPr>
        <w:ind w:left="4067" w:hanging="180"/>
      </w:pPr>
    </w:lvl>
    <w:lvl w:ilvl="6" w:tplc="0419000F" w:tentative="1">
      <w:start w:val="1"/>
      <w:numFmt w:val="decimal"/>
      <w:lvlText w:val="%7."/>
      <w:lvlJc w:val="left"/>
      <w:pPr>
        <w:ind w:left="4787" w:hanging="360"/>
      </w:pPr>
    </w:lvl>
    <w:lvl w:ilvl="7" w:tplc="04190019" w:tentative="1">
      <w:start w:val="1"/>
      <w:numFmt w:val="lowerLetter"/>
      <w:lvlText w:val="%8."/>
      <w:lvlJc w:val="left"/>
      <w:pPr>
        <w:ind w:left="5507" w:hanging="360"/>
      </w:pPr>
    </w:lvl>
    <w:lvl w:ilvl="8" w:tplc="0419001B" w:tentative="1">
      <w:start w:val="1"/>
      <w:numFmt w:val="lowerRoman"/>
      <w:lvlText w:val="%9."/>
      <w:lvlJc w:val="right"/>
      <w:pPr>
        <w:ind w:left="622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389E"/>
    <w:rsid w:val="009F389E"/>
    <w:rsid w:val="00C86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0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F389E"/>
    <w:pPr>
      <w:spacing w:before="100" w:beforeAutospacing="1" w:after="100" w:afterAutospacing="1" w:line="240" w:lineRule="auto"/>
      <w:ind w:left="107" w:right="54"/>
    </w:pPr>
    <w:rPr>
      <w:rFonts w:ascii="Verdana" w:eastAsia="Times New Roman" w:hAnsi="Verdana" w:cs="Times New Roman"/>
      <w:sz w:val="15"/>
      <w:szCs w:val="15"/>
      <w:lang w:eastAsia="ru-RU"/>
    </w:rPr>
  </w:style>
  <w:style w:type="character" w:styleId="a4">
    <w:name w:val="Strong"/>
    <w:basedOn w:val="a0"/>
    <w:uiPriority w:val="22"/>
    <w:qFormat/>
    <w:rsid w:val="009F389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9F38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38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gif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1391</Words>
  <Characters>7934</Characters>
  <Application>Microsoft Office Word</Application>
  <DocSecurity>0</DocSecurity>
  <Lines>66</Lines>
  <Paragraphs>18</Paragraphs>
  <ScaleCrop>false</ScaleCrop>
  <Company>Grizli777</Company>
  <LinksUpToDate>false</LinksUpToDate>
  <CharactersWithSpaces>9307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2</cp:revision>
  <dcterms:created xsi:type="dcterms:W3CDTF">2019-09-19T03:37:00Z</dcterms:created>
  <dcterms:modified xsi:type="dcterms:W3CDTF">2019-09-19T03:42:00Z</dcterms:modified>
</cp:coreProperties>
</file>