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71BAFB"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13-бөлім. Жобаны басқарудағы даму тарихы мен үрдістері</w:t>
      </w:r>
    </w:p>
    <w:p w14:paraId="711F154F"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p>
    <w:p w14:paraId="508167A4"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13.1 шетелде жобаларды басқару</w:t>
      </w:r>
    </w:p>
    <w:p w14:paraId="0F71E6CF"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Жобаларды дербес пән ретінде басқарудың пайда болуы 30 жылға жатады және АҚШ-та ірі жобалардың инжинирингін үйлестірудің арнайы әдістерін әзірлеумен байланысады:US Air Corporation авиациялық және Exxon белгілі фирмасында мұнай-газ.</w:t>
      </w:r>
    </w:p>
    <w:p w14:paraId="1FB039B7"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1937 жылы американдық ғалым тұйық күрделі жобаларды басқару және жүзеге асыру үшін матрицалық ұйым бойынша алғашқы әзірлемені жүзеге асырды. АҚШ әуе күштерінің бірлескен жобаларының офисінде және қару-жарақ жөніндегі арнайы жобалардың офисінде, әрі қарай 1955 жылы АҚШ теңіз флотының арнайы жобаларының офисінде қазіргі заманғы практикалық қолдану толық көлемде алғаш рет алды. Бұл күрделі және ірі жобаларды басқару кезінде интеграцияға қол жеткізу үшін алғашқы және неғұрлым ұйымдастырылған тетіктер болды.</w:t>
      </w:r>
    </w:p>
    <w:p w14:paraId="46A2E2E5"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1956 жылы "Дюпон де Немур" компаниясы (Du Pont de Nemours Co.) жобаларды басқару әдістері мен құралдарын әзірлеу үшін топ құрды. 1957 жылы бұл жұмыстарға UNIVAC зерттеу орталығы мен Remington Rand фирмасы қосылды. 1957 жылдың соңына қарай Kelly және Walker басқаратын осы ұжыммен UNIVAC ЭЕМ-де бағдарламалық іске асырумен сыни жол (СРМ) әдісі әзірленді. СРМ Кентукки штаты Луисвилл қаласында Химиялық талшықтар зауытын салу жоспарын әзірлеуге табысты сыналды. Осы жұмыстың нәтижесінде жобаны басқару бойынша алғашқы жарияланымдар пайда болды. "Поларис" (US Navy) бағдарламасы үшін СРМ кейін 1957-58 ж.ж. ішінде PERT желілік жоспарлау жүйесі әзірленіп, сынақтан өткізілді. "Поларис" бағдарламасы 250 Контрактор - фирмаларды және 9000 – нан астам субконтрактор - фирмаларды қамтыды.</w:t>
      </w:r>
    </w:p>
    <w:p w14:paraId="71E7349E"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1956-58 ж.ж. әзірленген желілік жоспарлаудың әдістері мен техникасы ҰЖ дамуына қуатты серпін берді.</w:t>
      </w:r>
    </w:p>
    <w:p w14:paraId="4DDA91E6"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1958 жылдан бері PERT және СРМ АҚШ-тағы бірқатар ірі әскери және азаматтық жобаларда жұмысты жоспарлау, тәуекелді бағалау, құнды бақылау және ресурстарды басқару үшін пайдаланылады.</w:t>
      </w:r>
    </w:p>
    <w:p w14:paraId="551C122C"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1959 жылы Андерсон комитеті (NASA) жобаны басқарудың өмірлік циклінің кезеңдері бойынша жүйелі тәсілді қалыптастырды, онда жоба алдындағы талдауға ерекше назар аударылды. 50-ші жылдары УП-ның дамуы Gaddis Harvard Business Review-де жобаларды басқару бойынша алғашқы жалпылама мақаланы жариялаумен аяқталды.</w:t>
      </w:r>
    </w:p>
    <w:p w14:paraId="30F21839"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УП қалыптасуы. 60-шы жылдары ДБ дамуы тек PERT және СРМ әдістері мен құралдарына ғана шоғырланады. Желілік әдістерді қолдану аясы кеңеюде. СРМ және PERT (PERT/COST), ресурстарды бөлу және жоспарлау (RPSM, RAMPS және т.б.) үшін құнды оңтайландыру әдістері мен құралдары әзірленеді. IBM фирмасы PERT/COST негізінде жобаларды басқару жүйесі ретінде бағдарламалар пакетін әзірлейді –</w:t>
      </w:r>
    </w:p>
    <w:p w14:paraId="52980E4F"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PMS, желілік техника (PSC) және т. б. негізінде жобаларды бақылаудың алғашқы жүйелері құрылады.</w:t>
      </w:r>
    </w:p>
    <w:p w14:paraId="2E69D11B"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60-жылдары одан әрі дамуды ұйымдастыру интеграциясы алады. Лауренс пен Лорш, Галбрейт және басқалары мүмкін болатын интеграциялық тетіктердің түрлері мен олар пайдаланылуы тиіс шарттарды нақты тұжырымдарда түсіндірді. Бұл кезеңде материалдық-техникалық қамтамасыз етудің біртұтас жүйесі (1966) және желілік модельдердің жаңа генерациясын пайдаланатын GERT (1966) жүйесі әзірленді.</w:t>
      </w:r>
    </w:p>
    <w:p w14:paraId="2C87BB92"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70-ші жылдары ірі ауқымды жобалар қоршаған ортаны қорғаушылардың күтпеген оппозициясына тап болды (атом электр станциялары, көлік желілері, мұнай-газ жобалары, химия, мелиорация және т.б.). Бұл жобалардың "сыртқы" ортасын әзірлеу және сыртқы факторларды - экономикалық, экологиялық, қоғамдық және т.б. - УП процесіне формальды қосу үшін түрткі болды.</w:t>
      </w:r>
    </w:p>
    <w:p w14:paraId="6E33A3CE"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Қақтығыстарды басқару әдістері (1977), жоба басшысының және жоба командасының мәселелері (1971), УП ұйымдастыру құрылымдары (1977-79) әзірленеді.</w:t>
      </w:r>
    </w:p>
    <w:p w14:paraId="4E2018E3"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80-ші жылдардың басында ЖК табысты іске асыру көрсеткіштері өте төмен болды деп танылмаған. 80-жылдардың ортасында жағдай жақсара бастады, Петер Левене УП-ға реализм әкелді-ол УП және жобаларды қамтамасыз ету (қаржы және басқа ресурстар) мәселелерін біріктірді.</w:t>
      </w:r>
    </w:p>
    <w:p w14:paraId="40678A77"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Тапсырыс берушіге (иеленушіге) бағдарланумен құрылыста УП әдістері дамуда. Практикаға конфигурацияны (өзгерістерді) басқару әдістері кіреді. Сапаны басқару дамуда, бұл инновациялық жобаларды жақсы басқаруға мүмкіндік береді. Тәуекелді басқару УП саласындағы дербес пәнге бөлінеді.</w:t>
      </w:r>
    </w:p>
    <w:p w14:paraId="5F37D471"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Соңында, компьютерлердің төртінші буыны және олардың негізінде әзірленген жаңа ақпараттық технологиялар, жоспарлау, жұмыс кестесін құру, уақытты, құнды, ресурстарды бақылау және талдау және т.б. сияқты УП әдістері мен құралдарын пайдалану оңай және тиімді кең мүмкіндіктер берді.</w:t>
      </w:r>
    </w:p>
    <w:p w14:paraId="7BDDCB63"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Ұғыну пайда болды және ҰЖ қолдану тиімділігін бағалау мүмкіндіктеріне көзқарастар дамуда.</w:t>
      </w:r>
    </w:p>
    <w:p w14:paraId="06D09B17"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80-ші УП дамуына тағы екі ірі салым болды:</w:t>
      </w:r>
    </w:p>
    <w:p w14:paraId="0BDA7A3B"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АҚШ - та УП институтының (PMI) - Project Management Body of Knowledge (УП бойынша білім жинағы) ұжымдық жұмысы жарияланды, онда УП әдістері мен құралдарының орны, рөлі мен құрылымы және олардың жалпы басқаруға қосқан үлесі анықталды. ББ кәсіби қызметтің дербес пәнаралық саласы ретінде қалыптасты;</w:t>
      </w:r>
    </w:p>
    <w:p w14:paraId="578FD7BD"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1990 жылы Дүниежүзілік УП Конгресінде УП - "Management by Projects" - жобалардың көмегімен жобалық басқару мәселесін талқылады. 1991 жылы Германияда күрделі ұжымдық еңбек - осы саладағы әлемдік жетістіктерді ескере отырып, Германияда жобаларды басқару бойынша көпжылдық тәжірибе жинақталып, жүйелендірілген Германияның Ұлттық ИНТЕРНЕТ қауымдастығы дайындаған оқулық пен практикалық нұсқаулық жарыққа шықты.</w:t>
      </w:r>
    </w:p>
    <w:p w14:paraId="4454513D"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90-шы жылдары УП жаңа бағыттарын дамыту жалғасуда. 90-шы жылдардың ең маңызды оқиғалары: посткоммунистік елдерге және үшінші әлем елдеріне УП білімі мен тәжірибесін трансферттеудің басталуы; дәстүрлі емес салаларда: әлеуметтік және экономикалық жобалар, ірі халықаралық жобалар және т.б. УП қолдану мүмкіндіктері мен пайдалылығын ұғыну; реформаларды басқару әдістері мен құралдары ретінде УП пайдалану мүмкіндігін зерттеу.</w:t>
      </w:r>
    </w:p>
    <w:p w14:paraId="71BD7A5B"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 xml:space="preserve">Флоренциядағы INTERNET 92 конгресі ірі оқиға </w:t>
      </w:r>
      <w:proofErr w:type="gramStart"/>
      <w:r w:rsidRPr="006B7C92">
        <w:rPr>
          <w:rFonts w:ascii="Times New Roman" w:eastAsia="Times New Roman" w:hAnsi="Times New Roman" w:cs="Times New Roman"/>
          <w:sz w:val="16"/>
          <w:szCs w:val="16"/>
          <w:lang w:eastAsia="ru-RU" w:bidi="ru-RU"/>
        </w:rPr>
        <w:t>болды,ол</w:t>
      </w:r>
      <w:proofErr w:type="gramEnd"/>
      <w:r w:rsidRPr="006B7C92">
        <w:rPr>
          <w:rFonts w:ascii="Times New Roman" w:eastAsia="Times New Roman" w:hAnsi="Times New Roman" w:cs="Times New Roman"/>
          <w:sz w:val="16"/>
          <w:szCs w:val="16"/>
          <w:lang w:eastAsia="ru-RU" w:bidi="ru-RU"/>
        </w:rPr>
        <w:t xml:space="preserve"> "Шекарасыз жобаларды басқару" ұранымен өтті және УП дамыту үшін жаңа перспективаларды ашты.</w:t>
      </w:r>
    </w:p>
    <w:p w14:paraId="0D0BF62A"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Жобаларды басқарудың кәсіби ұйымдары</w:t>
      </w:r>
    </w:p>
    <w:p w14:paraId="1EEF5B89"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Түрлі елдердегі ТЖ бойынша мамандарды біріктіретін кәсіби ұйымдар жө-ның дамуына және кең таралуына үлкен үлес қосты. 1970 жылдың өзінде түрлі континенттердің дамыған елдерінің кәсіпқойлары өздерінің ұлттық, содан кейін халықаралық бірлестіктері мен ұйымдарын құрады: Еуропада жобаларды басқарудың Халықаралық ассоциациясы (INTERNET); Солтүстік Америкада жобаларды басқару институты (PMI); Австралияда Жобаларды басқару Австралиялық институты (AIPM); Азияда Инжинирингті дамыту жапон қауымдастығы (Ena).</w:t>
      </w:r>
    </w:p>
    <w:p w14:paraId="55726CFC" w14:textId="457A6B6D" w:rsid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Бұл ұйымдар уақыт өте келе ақпаратпен, идеялармен алмасу, ҰО бойынша өткізілетін ұлттық және халықаралық форумдарға өзара қатысу, арнайы басылымдарда және т. б. жарияланымдар алмасу үшін тығыз өзара байланыстар орнатты.</w:t>
      </w:r>
    </w:p>
    <w:p w14:paraId="53D808EF"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УП саласындағы бірінші және ең ірі халықаралық ұйым жобаларды басқарудың халықаралық қауымдастығы болып табылады - барлық дамыған еуропалық елдердің, сондай-ақ Түркия мен Египеттің, екі жарты шардан тұратын әр түрлі елдердің корпоративтік және жеке мүшелерін біріктіретін ИНТЕРНЕТ.</w:t>
      </w:r>
    </w:p>
    <w:p w14:paraId="21DB8BFF"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Dornier (ГФР) фирмасының белгілі жоба-менеджері Роланд</w:t>
      </w:r>
    </w:p>
    <w:p w14:paraId="7E9680F0"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 xml:space="preserve">Гуч Парижде Еуропа мен АҚШ-тан сарапшылар тобын жинады. Бұл кездесу ИНТЕРНЕТ білімге алып келді, ал Р. Гуч оның Тұңғыш Президенті болды және көптеген жылдар осы ұйымның мойындаған көшбасшысы болды. 1967 жылы </w:t>
      </w:r>
      <w:r w:rsidRPr="006B7C92">
        <w:rPr>
          <w:rFonts w:ascii="Times New Roman" w:eastAsia="Times New Roman" w:hAnsi="Times New Roman" w:cs="Times New Roman"/>
          <w:sz w:val="16"/>
          <w:szCs w:val="16"/>
          <w:lang w:eastAsia="ru-RU" w:bidi="ru-RU"/>
        </w:rPr>
        <w:lastRenderedPageBreak/>
        <w:t>Венада бүкіл әлемнің 400-ге жуық мамандарын жинаған I Дүниежүзілік Интернет Конгресі өткізілді. Ал 1994 жылдың шілде айында Осло қаласында (Норвегия) УП бойынша Х11 Дүниежүзілік Конгресі өтеді. ИНТЕРНЕТ Цюрих қаласында (Швейцария) штаб - пәтері бар табыссыз кәсіби ұйым ретінде құрылған.</w:t>
      </w:r>
    </w:p>
    <w:p w14:paraId="6EDD6614"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Қауымдастықтың маңызды буыны ұлттық қоғам болып табылады. 1994 жылы интернетке 22 елдің ұлттық ұйымдары кірді: Австрия, Англия, Венгрия, Германия, Греция, Дания, Египет, Исландия, Испания, Италия, Нидерланды, Норвегия, Қазақстан, Словения, Түркия, Украина, Финляндия, Франция, Швейцария, Швеция, Чехословакия, Югославия.</w:t>
      </w:r>
    </w:p>
    <w:p w14:paraId="3EA206E0"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ИНТЕРНЕТТЕРДІҢ басты мақсаты УП саласындағы кәсіпқойлықты дамыту болып табылады.</w:t>
      </w:r>
    </w:p>
    <w:p w14:paraId="68EE91B8"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ИНТЕРНЕТ өз алдына мынадай негізгі міндеттерді қояды: жобаларды іске асыру және басқару бойынша идеялармен және тәжірибемен халықаралық алмасуды қамтамасыз ету; жобаларды басқарудың қазіргі заманғы әдістерін дамыту мен пайдалануды қамтамасыз ету; Жобаларды басқару саласында ғалымдардың, мамандар мен практиктердің кооперациясына жәрдемдесу; жобаларды басқару бойынша оқыту, сертификаттау және практикалық жұмыс үшін халықаралық стандарттарды қамтамасыз ету; халықаралық жобаларда туындайтын проблемаларды зерттеу және шешу.</w:t>
      </w:r>
    </w:p>
    <w:p w14:paraId="23593196"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ИНТЕРНЕТ халықаралық және Дүниежүзілік конгрестер (екі жылда бір рет), халықаралық симпозиумдар (жылына бір рет), халықаралық семинарлар мен конференциялар, оқу курстары және ұлттық ұйымдармен бірлесіп басқа да іс-шаралар өткізеді, "өздерінің форумдарының, монографиялары мен анықтамаларының, арнайы журналдар мен жаңалықтар басылымдарының" еңбектерін шығарады.</w:t>
      </w:r>
    </w:p>
    <w:p w14:paraId="2FD016FE"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ИНТЕРНЕТ басқа кәсіби ұйымдармен ынтымақтастық туралы келісімдерге ие және олармен бірлескен іс-шаралар мен алмасулар жүргізеді. Бұл бірінші кезекте:</w:t>
      </w:r>
    </w:p>
    <w:p w14:paraId="5D0EDD65"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Солтүстік Америка жобаларды басқару институты-PMI (АҚШ); Жапон Инжинирингті дамыту қауымдастығы-ENAE;</w:t>
      </w:r>
    </w:p>
    <w:p w14:paraId="1E5064B4"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Инженерлік қызметтегі баға белгілеу және құн жөніндегі халықаралық кеңес - International Cost Engineering Council (ICEC).</w:t>
      </w:r>
    </w:p>
    <w:p w14:paraId="0D340E48"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ИНТЕРНЕТ инвестициялық - жобалау қызметімен байланысты бірқатар еуропалық және Дүниежүзілік ұйымдар мен институттармен тікелей байланыс орнатты және ынтымақтастықты қолдайды.</w:t>
      </w:r>
    </w:p>
    <w:p w14:paraId="21149F2C"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ИНТЕРНЕТ бұрынғы КСРО, Шығыс Еуропа елдерінде және дамушы елдерде УП-ның дамуы мен қолданылуына қолдау көрсетеді.</w:t>
      </w:r>
    </w:p>
    <w:p w14:paraId="2F2B2B9C"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Жобаларды басқару институты (PMI) - жобаларды басқару институты, 1969 жылы АҚШ-та ресми түрде пайда жоқ халықаралық кәсіби ұйым ретінде тіркелген. PMI Солтүстік Америка аумағында, АҚШ пен Канадада жұмыс істейді және Еуропа, Африка, Латын Америкасы, Азия, Австралиядан халықаралық мүшелері бар. PMI Штаб-пәтері Пенсильвания, Дрексл-Хил қаласында орналасқан. PMI-де жеке мүшелік орнатылған. PMI мүшелері үш аймаққа кіретін 62 бөлімшеге біріктірілген:</w:t>
      </w:r>
    </w:p>
    <w:p w14:paraId="2634C43C"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PMI мүшелері іскерлік және қоғамдық салалардың кең спектрін ұсынады, онда УП әдістері мен құралдарын қолдану табысты болуы мүмкін. PMI үшін ДБ қолданудың дәстүрлі салалары: консалтинг, инжиниринг, құрылыс, сәулет, электроника және компьютерлендіру, өнеркәсіп, қызмет көрсету саласы, қорғаныс, үкімет, фармацевтика, тау-кен өнеркәсібі, мұнай химиясы, БІЛІМ БЕРУ, аэроғарыш, көлік, ауыл шаруашылығы, экология және т. б. болып табылады.</w:t>
      </w:r>
    </w:p>
    <w:p w14:paraId="5158ECFD"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PMI өз алдына мынадай міндеттерді қояды: ДБ-да кәсібилікті дамытуға жәрдемдесу; ДБ сапасын арттыру және оның қолданылу салаларын кеңейту; ДБ-ның негізгі қағидаттарын айқындау және дамыту, жобаларды табысты жүзеге асыру үшін ДБ саласындағы білімді кеңейту; жобаларды іске асыру және ДБ проблемаларын шешу бойынша идеялармен және тәжірибемен кең алмасу үшін форумдар өткізуді қамтамасыз ету; ДБ-ның экономикада, өнеркәсіпте, іскерлік және әлеуметтік салаларда тиімді қолданылуын ынталандыру;; компьютерлерді және бағдарламалық қамтамасыз етуді пайдаланушылар, әзірлеушілер және жеткізушілер арасында байланысты қамтамасыз ету; университеттермен және басқа да оқу орындарымен білім беру және барлық деңгейдегі ӘБ мамандарының біліктілігін арттыру саласында ынтымақтасу; ғылыми ұйымдарда, ЖОО ' ах және өнеркәсіпте өткізілетін ӘБ саласындағы ғылыми зерттеулер мен жаңа әзірлемелерді қолдау және көтермелеу; жалпы қызығушылық тудыратын салаларда өзара тиімді ынтымақтастық үшін ӘБ-мен байланысты басқа да қоғамдық және жеке ұйымдармен байланыстарды дамытуға жәрдемдесу.</w:t>
      </w:r>
    </w:p>
    <w:p w14:paraId="5B8892C8"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PMI үлкен ақпараттық-баспа қызметін жүргізеді.</w:t>
      </w:r>
    </w:p>
    <w:p w14:paraId="2173D993"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АҚШ-тағы УП саласындағы негізгі басылымдар PMI-мен байланысты.</w:t>
      </w:r>
    </w:p>
    <w:p w14:paraId="746EAAD9"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Жыл сайын PMI 3-4 күн ішінде жалпы семинар / симпозиум өткізеді. Симпозиум бағдарламасы әдетте мыналарды қамтиды: сыртқы қонақтардың баяндамалары, баяндамаларды ұсынумен пленарлық және секциялық отырыстар, жалпы пікірталастар, мамандандырылған жұмыс топтары, өнім көрмесі, жетістіктер және КЖ бойынша сервис. Симпозиумдардың еңбектері жеке басылыммен жарияланады. Симпозиумға әлемнің түкпір-түкпірінен 1000-ға жуық адам қатысады.</w:t>
      </w:r>
    </w:p>
    <w:p w14:paraId="549D4DDA"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Осы жылдық форумдарға PMI алғаш рет Қазақстан мен ТМД елдерінің сарапшылары қатысты-мүше.</w:t>
      </w:r>
    </w:p>
    <w:p w14:paraId="31C08A53"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13.2 Қазақстандағы жобаларды басқару. Қазіргі экономикадағы жобаларды басқару</w:t>
      </w:r>
    </w:p>
    <w:p w14:paraId="42875BBB" w14:textId="77777777" w:rsidR="006B7C92" w:rsidRP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Қазақстанда жобаларды басқару әдістерінің негізгі даму кезеңдері мыналарды қамтиды: жобаларды басқару негіздері; жоспарлау мен басқарудың желілік әдістері (АБЖ); жекелеген жобаларды басқару үшін ЭЕМ-ді қолдану; ұйымды басқару (көп бейінді басқару); басқарудың итерацияланған жүйелері; Батыс тәжірибесін Трансфер және бейімдеу негізінде кәсіби басқарудың қазіргі заманғы әдістері.</w:t>
      </w:r>
    </w:p>
    <w:p w14:paraId="04780B98" w14:textId="5DD6FD02" w:rsidR="006B7C92" w:rsidRDefault="006B7C92" w:rsidP="006B7C92">
      <w:pPr>
        <w:widowControl w:val="0"/>
        <w:tabs>
          <w:tab w:val="left" w:pos="1009"/>
          <w:tab w:val="left" w:pos="2257"/>
          <w:tab w:val="left" w:pos="4314"/>
          <w:tab w:val="left" w:pos="4536"/>
          <w:tab w:val="left" w:pos="5316"/>
          <w:tab w:val="left" w:pos="6180"/>
          <w:tab w:val="left" w:pos="6281"/>
          <w:tab w:val="left" w:pos="8064"/>
          <w:tab w:val="left" w:pos="8127"/>
          <w:tab w:val="left" w:pos="9344"/>
          <w:tab w:val="left" w:pos="9662"/>
        </w:tabs>
        <w:autoSpaceDE w:val="0"/>
        <w:autoSpaceDN w:val="0"/>
        <w:spacing w:before="3" w:after="0" w:line="240" w:lineRule="auto"/>
        <w:ind w:left="399" w:right="386" w:firstLine="566"/>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Жүргізілген талдау технология тез өзгереді, содан кейін жобаның шеңбері. Ұйымдастырушылық құрылымның өзгеруіне аз ұшырайды, ал ең консервативті адамдар болып табылады. Осыдан бірқатар тұжырымдар бар.</w:t>
      </w:r>
    </w:p>
    <w:p w14:paraId="6D65D981"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1. Ұйым ғылыми-техникалық прогресс, әлеуметтік-экономикалық және қоршаған ортаның басқа да компоненттерінің өзгеруі жағдайында бәсекелестік қабілеті мен өміршеңдігін сақтау үшін оның ұйымдық құрылымын дер кезінде бейімдеу және кадрларды тиісті даярлауды жүзеге асыру қажет.</w:t>
      </w:r>
    </w:p>
    <w:p w14:paraId="77561CE0"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2. Бейімдеу мерзімдерін қысқарту үшін жобаларды басқарудың арнайы жобалық-бағдарланған нысандары мен әдістерін пайдалану қажет.</w:t>
      </w:r>
    </w:p>
    <w:p w14:paraId="3D9EB6AF"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3. Ұйымда жобаларды жүзеге асыруды кәсіпқойлар тобы – ұйым мамандарын тарта отырып, менеджерлер жобасы табысты жүргізе алады, себебі ұйым қызметкерлерінің өздері психологиялық тұрғыдан осы өзгерістерді тиімді жүзеге асыра алмайды.</w:t>
      </w:r>
    </w:p>
    <w:p w14:paraId="0CD3346A"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ОЖ дамуының қысқаша тарихи очеркінен Кеңес Одағы жобаларды басқару әдістерін дамытудан тыс қалмағаны туралы қорытынды жасауға болады. Осы салада жұмыс істеген кәсіби топтар құрылды, тиісті пәндер әртүрлі жоғары оқу орындарында және біліктілікті арттыру курстарында оқытылды, көптеген институттарда ғылыми зерттеулер жүргізілді, бағдарламалық құралдар әзірленді. Жобаларды басқару әдістері жүздеген ұйымдарда және мың жобаларды орындауда белсенді қолданылды.</w:t>
      </w:r>
    </w:p>
    <w:p w14:paraId="1D8E7C02"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Олардың арасында академик С. П. Королевтің басшылығымен алғашқы, тамаша жүзеге асырылған ғарыштық жобаларды, академик И. В. Курчатовтың басқаруымен атом энергетикасы саласындағы жобаларды, Волга, ангар, Оби және Енисейдегі гидроэлектростанциялардың құрылысын және басқа да көптеген жобаларды атап өту жеткілікті. Бұл жобаларды басқару әдістері мен техникасын әлі де зерттеп, тарихқа енгізу керек.</w:t>
      </w:r>
    </w:p>
    <w:p w14:paraId="7E3826B9"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КСРО-да жобаларды басқару саласындағы жағымсыз үрдістерді талдау олардың пайда болуының бірнеше негізгі себептерін анықтауға мүмкіндік берді. Негізінен бұл себептер:</w:t>
      </w:r>
    </w:p>
    <w:p w14:paraId="4B328AC8"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lastRenderedPageBreak/>
        <w:t>- экономика саласында-мемлекеттік меншіктің үстемдігіне, экономиканы басқарудың қатаң бюрократиялық құрылымдарына және икемді жобалық-бағдарланған құрылымдардың толық болмауына;</w:t>
      </w:r>
    </w:p>
    <w:p w14:paraId="6D02F2FF"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 басқару саласында-саяси мақсаттар басым әкімшілік жүйенің үстемдігіне және экономикалық әдістер мен оларға сәйкес Басқару құралдарын пайдаланудың әлсіз уәждемесіне;</w:t>
      </w:r>
    </w:p>
    <w:p w14:paraId="25310066"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 Ақпараттық технологиялар саласында-ақпараттық инфрақұрылымның нашар дамуына және есептеу техникасымен және байланыс құралдарымен төмен қамтамасыз етілуіне.</w:t>
      </w:r>
    </w:p>
    <w:p w14:paraId="63E901EC"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Әрине, негізгі себептердің бірі Кеңес экономикасын халықаралық тәжірибе мен әлемдік жетістіктерден ұзақ оқшаулау болды.</w:t>
      </w:r>
    </w:p>
    <w:p w14:paraId="7CFBB5C3"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КСРО-дағы жобаларды басқару дамуының жағымсыз үрдістерінің негізгі себептері. Инвестициялық-құрылыс саласында осы себептерге бірқатар ерекше себептерді қосу керек:</w:t>
      </w:r>
    </w:p>
    <w:p w14:paraId="5F7903C8"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Жобаларды аяқтаудың жоспарланған мерзімдері мен қолда бар қуаттар арасындағы созылмалы теңгерімсіздік.</w:t>
      </w:r>
    </w:p>
    <w:p w14:paraId="4092F8EE"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Инвестициялық жобаларға қатысушы-ұйымдар тиісті жобаны орындауға емес, әрқайсысы өз жоспарына бағытталған.</w:t>
      </w:r>
    </w:p>
    <w:p w14:paraId="6164A42A"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Бірлесіп орындаушылардың тиімді тетіктерінің болмауы.</w:t>
      </w:r>
    </w:p>
    <w:p w14:paraId="6CFADA10"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Қатаң тік ұйымдастыру құрылымдары және жобаға қатысушылардың міндеттерін дәстүрлі бөлу жұмыстарды үйлестіруді қиындатады, тұтастай алғанда жобаға жауап беретін, жобаларды тиімді және уақтылы аяқтауға бағытталған икемді ұйымдастыру нысандарын құруға мүмкіндік бермейді.</w:t>
      </w:r>
    </w:p>
    <w:p w14:paraId="6E8C8CD9"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Жобалардың іске асырылуын нашар жолға қойылған бақылау (құны, пайдаланылатын ресурстар, орындалған жұмыстар бойынша) және басқару мәдениетінің жалпы төмен деңгейі.</w:t>
      </w:r>
    </w:p>
    <w:p w14:paraId="2104568C"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Басқару персоналының әлсіз кәсіби дайындығы (жоғары оқу орнындағы қазіргі білім беру деңгейіне және басқарудың жоғары және орта буындарында кадрларды іріктеудің номенклатуралық қағидаттарына негізделген жобаларды басқарудың қазіргі заманғы әдістерінің тети).</w:t>
      </w:r>
    </w:p>
    <w:p w14:paraId="3E78FA1F"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Сонымен қатар, бірқатар себептер осы саладағы әзірлемелердің кемшіліктерімен байланысты болды. Олар жиі ұйымдардың нақты қажеттіліктерін ескермеді және өте теориялық болды. Көптеген әзірлемелер ашық әлсіз болды. Ведомстволық тәсіл: "өз жақсы". Әрбір министрлік, Бас прокуратура өздерінің " әзірлеушілерін қолдауға тырысты. Әзірлемелер нарығы іс жүзінде болған жоқ.</w:t>
      </w:r>
    </w:p>
    <w:p w14:paraId="4220591E"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Жобаларды басқару үшін бастапқы деректерді дайындаудың өте үлкен еңбек сыйымдылығы да маңызды себеп болды. Мұнда шешім жобалау және құрылыс ұйымдарының күш-жігерін біріктіру, жұмыс тәртібі мен нормалар мен нормативтердің құрамын, жобалау-сметалық құжаттамаларды, әсіресе құрылысты ұйымдастыру жобаларын (ПОС) және жұмыс өндірісін (ЖАЖ) қайта қарау жолында жатыр. Алайда, ведомстволық бытыраңқылық пен тиісті мулдар мен уәждемелердің болмауы бұған қол жеткізуге мүмкіндік бермеді. КСРО Мемлекеттік құрылысы мен оның институттарын қажет ететін рөлді осында ойнаған жоқ.</w:t>
      </w:r>
    </w:p>
    <w:p w14:paraId="6E07B647"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Сондай-ақ, министрліктер мен ведомстволар басшылығы тарапынан елеулі мүдделілік пен қолдау болмаған жағдайда, елдегі ең үздік ұйымдар 80-ші жылдары қайта құрылды немесе жойылды, ал мамандар ұжымдары ыдырады немесе қайта бағдарланды. Сонымен, күрделі құрылыс саласында оларға мыналарды жатқызуға болады: СР Мемқұрылыс ЦНИПИАСС, МИСИ жанындағы НИИЭОУС, Казоргтехстрой (Алматы қ.), КСРО Минпромқұрылыс Минц (Тула қ.), КСРО Минстроя МИНСТРОЯ ИВЦ (Ярославль қ.), МССР Минстроя ИВЦ (Кишинев қ.) және т. б.</w:t>
      </w:r>
    </w:p>
    <w:p w14:paraId="38E8AE97"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Әрине, мұндай жағдайларда жобаларды басқару әдістері елеулі рөл атқара алмады. Оларды табысты қолданудың барлық жағдайлары жекелеген басшылар мен мамандардың күш-жігері мен ынтасының арқасында ғана мүмкін болады.</w:t>
      </w:r>
    </w:p>
    <w:p w14:paraId="517EA6CE" w14:textId="77777777"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Жаңа жағымсыз үрдістерді талдау. Жалпы алғанда тиімсіз кеңестік экономикалық жүйе кем дегенде бір артықшылығы болды: ол жұмыс істеді! Мыңдаған және мыңдаған жобалар түрлі салаларда орындалды: өнеркәсіп және тұрғын үй құрылысы, көлік жүйелері мен коммуникациялар, Қорғаныс және ғарыш жобалары және тағы басқалар. Айта кету керек, бұл жобалар нормативтік мерзімдерді, құнды және бөлінген ресурстарды айтарлықтай асыра отырып, орасан зор күш-жігердің бағасымен жүзеге асырылды. Ұзақ уақыт экономикада жасырын ұран: "жоспар - кез келген бағамен!"- әрдайым жұмыс істемедім.</w:t>
      </w:r>
    </w:p>
    <w:p w14:paraId="505C435E" w14:textId="02D1FF69" w:rsidR="006B7C92" w:rsidRPr="006B7C92" w:rsidRDefault="006B7C92" w:rsidP="006B7C92">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6B7C92">
        <w:rPr>
          <w:rFonts w:ascii="Times New Roman" w:eastAsia="Times New Roman" w:hAnsi="Times New Roman" w:cs="Times New Roman"/>
          <w:sz w:val="16"/>
          <w:szCs w:val="16"/>
          <w:lang w:eastAsia="ru-RU" w:bidi="ru-RU"/>
        </w:rPr>
        <w:t>Соңғы уақытта болған әлеуметтік - экономикалық және саяси өзгерістердің нәтижесінде жоғарыда келтірілген "өткен жүкке" қатысты теріс факторларға инвестициялық және жобалық қызметтің белсенділігіне және Қазақстандағы УП-ның дамуына теріс әсер ететін жаңа теріс факторларды да қосуға болады. Бұл факторларға мыналар жатады: өндірістің жалпы құлдырауы және экономиканың тұрақсыз жұмыс істеуі; қоғамның саяси тұрақтылығының жеткіліксіздігі; мемлекеттік инвестициялардың күрт қысқаруы және инвестициялық белсенділіктің төмендеуі; инвестициялық қызметті, меншік қатынастарын, әсіресе жерге меншік бөлігінде рейдирлейтін заңнамалық және нормативтік актілердің жеткілікті дамымауы және олардың экономикада болып жатқан өзгерістер мен қоғамның қажеттіліктерінен артта қалуы; жалғасып отырған инфляция; кредит - Қаржы және банк жүйелерінің жеткіліксіз дамуы, инвестициялар мен капиталдардың айналымын тежейтін; инвесторлар мен өндірушілердің белсенділігін тежейтін салық жүйесінің жетілдірілмеуі; инвесторлар үшін, оның ішінде жобалардың шетелдік қатысушылары үшін кепілдіктер мен жеңілдіктерді қамтамасыз етудің нақты жүйесінің; сыбайлас жемқорлықтың өсуі және "көлеңкелі экономика" қызметінің жандануы; халықтың көпшілігінің өмір сүру деңгейінің елеулі төмендеуі, жүзеге асырылып жатқан реформалардағы көңілсіздік, қылмыс пен әлеуметтік шиеленістің өсуі.</w:t>
      </w:r>
    </w:p>
    <w:p w14:paraId="45C2A699"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Оң үрдістер мен өзгерістерді талдау. Теріс факторлармен бірге тұтастай алғанда экономикаға және атап айтқанда инвестициялық қызметтің жандануына оң әсер ететін оң үрдістер мен айқын анықталған өзгерістерді атап өтпеу әділетсіз болар еді.</w:t>
      </w:r>
    </w:p>
    <w:p w14:paraId="577E247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Инвестициялық қызметпен және жобаларды басқарумен тығыз байланысты және іс жүзінде жобалардың аясы немесе ортасы болып табылатын негізгі салаларда болған түбегейлі оң өзгерістерді атап өтеміз.</w:t>
      </w:r>
    </w:p>
    <w:p w14:paraId="1D4A67E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Саяси салада. Маңызды өзгерістер, сөзсіз, қатаң орталығы бар ескі тоталитарлық саяси бір партиялы жүйені демонтаждау, мәжбүрлеуге және еркін әкімшілік етуге негізделген орталықтандырылған басқару және ҚР Конституциясын қабылдау болып табылады. Бұл сондай-ақ қоғамды демократияландыру, қоғамдық өмірді ұйымдастырудың демократиялық нысандарын іздеу, мемлекеттік құрылым және экономиканы басқару көппартиялық саяси жүйеге көшудің басы және қалыптастырылды! құқықтық мемлекет.</w:t>
      </w:r>
    </w:p>
    <w:p w14:paraId="4A813EB2"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Экономика саласында. Бұл өзгерістер, ең алдымен, нарықтың пайда болуына және нарықтық қатынастарға көшуге байланысты. Біздің ойымызша, ең маңызды өзгерістерге:</w:t>
      </w:r>
    </w:p>
    <w:p w14:paraId="5B4EFF77"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Әр түрлі меншік нысандарының легитимациясы және ел экономикасындағы ұжымдық және жеке меншіктің әртүрлі типтері бар жаңа тәуелсіз ұйымдардың, компаниялар мен фирмалардың рөлі мен әсерінің жылдам өсуі.</w:t>
      </w:r>
    </w:p>
    <w:p w14:paraId="00AB590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Халықтың осы санатының еңбек қызметінің экономикалық уәждемесі күрт өзгерді және өз жемісін беруде. Бұл өндірісті біртіндеп тұрақтандырудан, іскерлік белсенділікті және іскерлікті дамытудан, жекешелендірілген кәсіпорындардағы істер мен әлеуметтік жағдайлардың жай-күйін Елеулі жақсартудан көрінеді.</w:t>
      </w:r>
    </w:p>
    <w:p w14:paraId="4883A22F"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Сыртқы экономикалық қызметке және саудаға мемлекеттік монополияның күшін жою. Бұл ескі тосқауыл жүйесі үшін дәстүрлі тосқауылдың бұзылуы біздің орнымыздың әлемдік экономикаға кірігуінің бастауы болды.</w:t>
      </w:r>
    </w:p>
    <w:p w14:paraId="7CF1BED6"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Басқару саласында. Мұнда басты өзгеріс әкімшілік-командалық және жоспарлы - тарату әдістерінен басқару мен реттеудің экономикалық әдістеріне көшудің басталуын есептеу керек.</w:t>
      </w:r>
    </w:p>
    <w:p w14:paraId="61331445"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 xml:space="preserve">Мемлекеттік басқаруды орталықсыздандыру, көптеген өкілеттіктерді жергілікті жерлерге беру, экономикалық </w:t>
      </w:r>
      <w:r w:rsidRPr="00025DAC">
        <w:rPr>
          <w:rFonts w:ascii="Times New Roman" w:eastAsia="Times New Roman" w:hAnsi="Times New Roman" w:cs="Times New Roman"/>
          <w:sz w:val="16"/>
          <w:szCs w:val="16"/>
          <w:lang w:eastAsia="ru-RU" w:bidi="ru-RU"/>
        </w:rPr>
        <w:lastRenderedPageBreak/>
        <w:t>әдістермен мемлекеттік реттеудің жаңа нысандарын іздестіру, экономикалық, өзара тиімді негізде салалар мен кәсіпорындардың өзара іс-қимылын үйлестіру мен ұйымдастырудың жаңа нысандары мен әдістерін іздеу.</w:t>
      </w:r>
    </w:p>
    <w:p w14:paraId="7F9D9712"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Кәсіби білім беруді дамытуды және нарықтық экономика жағдайында жұмыс істеу үшін кадрлар даярлауды мемлекеттік қолдау, оның ішінде отандық жоба-менеджерлерді даярлауды бастау.</w:t>
      </w:r>
    </w:p>
    <w:p w14:paraId="5BB97EF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Орта және шағын бизнесті мемлекеттік қолдау және нарықтық инфрақұрылымды дамыту.</w:t>
      </w:r>
    </w:p>
    <w:p w14:paraId="76493D52"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Ұйымдастыру. Негізгі өзгерістер нарықтық нысандар мен құрылымдарды қалыптастыру процесінің басталуымен байланысты. Мұнда жатқызуға болады:</w:t>
      </w:r>
    </w:p>
    <w:p w14:paraId="72C26055"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Инвестициялық салада қызмет түрлерін, сондай - ақ жаңадан ұйымдастырылатын жеке компаниялар мен фирмаларды (мысалы, " Си. "Консалтинг" Инжинирингтік фирмасы, Ставрополь қ.; Терека", Мәскеу қ.;" Комплекс " Инжинирингтік фирмасы, Мәскеу қ. және т. б.).</w:t>
      </w:r>
    </w:p>
    <w:p w14:paraId="25F68C4D"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Жаңа инвестициялық компаниялар, инжинирингтік және консалтингтік фирмалар құру. Олардың қызметін жандандыру және кәсіптік одақтар мен қауымдастықтарға бірлестіктерді бастау. Тәуелсіз ұйымдардың үкіметтік емес бірлестіктерін, одақтарды, қорларды және т.б. құру (мысалы, "өнеркәсіпшілер мен кәсіпкерлер одағы", "экономикалық реформаларды қолдау халықаралық қоры", "инвестициялық қызметке жәрдемдесу және шетелдік инвестицияларды тарту халықаралық қоры" және т. б.). Технологиялық орталықтарды, технопарктерді, инновациялық қорлар мен фирмаларды құру және оларды инновациялық жобалар саласында жандандыру (мысалы: "Қазақстан өнеркәсібінің инновациялық қоры", "Қазақстандағы Инновациялық қор", "технологиялар биржасы" а/о, "Техноргинвест" а/о, шағын инновациялық кәсіпорындарды, технологиялық орталықтар мен технопарктерді қолдау Қауымдастығы, Мәскеу қ. және т. б.).</w:t>
      </w:r>
    </w:p>
    <w:p w14:paraId="7E711D57"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Нарықтық инфрақұрылымды дамыту және жандандыру: коммерциялық банктер мен инвестициялық компаниялар, мультинменклатуралық және мамандандырылған биржалар, коммерциялық сақтандыру компаниялары, жарнама агенттіктері және т. б.</w:t>
      </w:r>
    </w:p>
    <w:p w14:paraId="547F9BB9"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Ақпараттық технологиялар саласында. Маңызды үрдістер мен өзгерістердің арасында:</w:t>
      </w:r>
    </w:p>
    <w:p w14:paraId="3E85F1A2"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Өркениетке ұқсас компьютерлік техника нарығын, қазіргі заманғы бағдарламалық өнімдер мен ақпараттық технологияларды құру. Бұл жерде УП бойынша бағдарламалар нарығын құру және нарықта УП қазіргі заманғы бағдарламалық қамтамасыз етудің пайда болуы, оның ішінде "Примавера", "Open Plan", "Microsoft Project U.r Window", "Time-Line", "Arthemis Project Publisher","Prestige" және т. б., олардың отандық әзірлемелермен бәсекелестігі екенін атап өткен жөн.</w:t>
      </w:r>
    </w:p>
    <w:p w14:paraId="33939D22"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Жобалардың кең спектрін әзірлеу және іске асыру, спутниктік, радиорелелік, оптикалық-талшықты, ұтқыр цифрлық байланыс жүйелері мен құралдарын құру және отандық және шетелдік іскер топтар мен пайдаланушылар үшін телекоммуникация инфрақұрылымын дамыту. Осы мақсатта конверсия процесінде босаған елдің қорғаныс кешенінің қуаттары мен құралдарын пайдалану.</w:t>
      </w:r>
    </w:p>
    <w:p w14:paraId="40FFED8E"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Ақыр соңында, өзгерістерге белгіленген үрдістер туралы айтпауға болмайды</w:t>
      </w:r>
    </w:p>
    <w:p w14:paraId="35493003"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Әлеуметтік психология саласында. Қоғам мен экономиканы табысты реформалау үшін қоғам мүшелерінің санасын өзгерту аса маңызды және қиын жүзеге асырылады. Осы консервативті салада айтарлықтай өзгерістер бола бастады.</w:t>
      </w:r>
    </w:p>
    <w:p w14:paraId="53C3AB3F"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Мемлекеттің асырауындағы көзқарасқа негізделген "кеңестік адамның" менталитеті біртіндеп бұзылып келеді: "Мемлекет барлығымызды қамтамасыз етуге және бәрін ұсынуға тиіс". Халықтың көпшілігінде, әсіресе оның белсенді бөлігінде, өткен, терең тамыр алған адамдардың, ұсыныстардың ауысуы орын алады және әрбір адам өмірде табысқа және қойылған мақсаттарға өзі қол жеткізуі тиіс деп ұғынылады, ал мемлекет пен оның үкіметі өз азаматтарының құқықтары мен бостандықтарын кепілдікпен және қорғауды қамтамасыз етуі тиіс.</w:t>
      </w:r>
    </w:p>
    <w:p w14:paraId="269C66BD" w14:textId="30C44939" w:rsidR="006B7C92"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Кепілді әлеуметтік қорғауға әлі жұмыс істемейтін азаматтар ғана құқылы, ал белсенді бөлігі өзін, өз отбасыларын, сондай-ақ төленетін салық есебінен заңды негізде жұмыс істемейтін халықтың бір бөлігін қамтамасыз етуге тиіс.</w:t>
      </w:r>
    </w:p>
    <w:p w14:paraId="66CB6437"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Сананың өзгеруі көптеген азаматтардың шығармашылық және іскерлік белсенділігінің дамуына әкелді. Әлеуметтік - экономикалық өзгерістер, бюджеттік қаржы бөлу мен инвестициялардың қысқаруы, мемлекеттік қамқорлық пен протекционизмнің күрт қысқаруы, кең ауқымды жекешелендіру нәтижесінде кәсіпорындар мен ұйымдар деңгейінде де, сондай-ақ жекелеген индивидумдарда да дербестік, іскерлік іскерлілік және кәсіпкерлік дамиды.</w:t>
      </w:r>
    </w:p>
    <w:p w14:paraId="23D07962"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Ұйымдар деңгейінде бұл: шаруашылық қызметте, маркетингті дамытуда, төлемге қабілетті сұранысқа сәйкес өндіріс пен қызметтерді әртараптандыруда, ұйымның даму стратегиясын әзірлеуде "прозябаниядан - тірі қалуға", "тірі қалудан - гүлденуге", жеткізушілермен және тұтынушылармен тікелей көлденең байланыстар орнатуда, мүдделі отандық және шетелдік серіктестермен кооперация мен ынтымақтастыққа көрінеді.</w:t>
      </w:r>
    </w:p>
    <w:p w14:paraId="0FCD718E"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Нәтижесінде "микрохирургия орталығы", "Камаз" а/о, "Автоваз" а/о, "XX Трест корпорациясы" а/о, бірқатар конверсиялық кәсіпорындар және т. б. көптеген қолайлы кәсіпорындар пайда болды және өркендеуде.</w:t>
      </w:r>
    </w:p>
    <w:p w14:paraId="578A1CF7"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Жекелеген азаматтар деңгейінде бұл іскерлік белсенділікті арттыруда, жаңа, неғұрлым перспективалы қызмет салаларын іздестіруде, кәсіптерді, жұмыс орындарын және жеке қабілеттерге, бейімділікке және қажеттіліктерге сәйкес тұрғылықты жерін ауыстыруда көрінеді.</w:t>
      </w:r>
    </w:p>
    <w:p w14:paraId="68861B66"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Мамандардың дәстүрлі емес жаңа салаларға, оның ішінде нарықтық құрылымдарға және экономиканың жеке секторына жаппай көші-қоны орын алуда.</w:t>
      </w:r>
    </w:p>
    <w:p w14:paraId="7BD618EE"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Өзінің бұрынғы жерлерінде қалған жаңа, неғұрлым перспективалы қызмет бағыттары мен өз білімі мен кәсіби мүмкіндіктерінің қосымшаларын іздейді.</w:t>
      </w:r>
    </w:p>
    <w:p w14:paraId="5F874C7C"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Осылардың бәрі бастайды етпей сауықтыру және экономиканы тұрақтандыру және дамыту өндіру және предвещает тұрмыс деңгейін арттыру, елде.</w:t>
      </w:r>
    </w:p>
    <w:p w14:paraId="648E0BC8"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Теріс және оң үрдістерді салыстыра отырып, сондай-ақ біздің нарықтың орасан зор әлеуетін, оның табиғи байлығын, оның еңбекқор, жақсы білімді халқын назарға ала отырып, Қазақстанның, оның инвестициялық саласының дамуын және болашақты тезірек іске асыруға көмектесетін жобаларды кәсіби басқаруды дамытуды оптимизммен қарауға барлық негіз бар. - Сур. Қазақстандағы УП сыртқы ортасы туралы жалпылама түсінік берілді.</w:t>
      </w:r>
    </w:p>
    <w:p w14:paraId="3866F696"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Инвестициялық саланың даму үрдістерін талдау. Қазақстанда жобаларды басқаруды дамыту перспективаларын жалпы экономика мен қоғамды қайта құру перспективасынан оқшаулауға болмайды. Командалық-әкімшілік жүйені түпкілікті демонтаждау, экономиканың нарық рельстеріне көшуі және әлемдік экономикалық жүйемен интеграциялау ғана Қазақстанда жобаларды басқаруды сапалы жаңа сатыға көтере алады. Сонымен қатар, жобаларды басқару мақсатты ірі ауқымды өзгерістерді жүзеге асырудың танылған тиімді әдістемесі ретінде, ең алдымен экономика мен қоғамды қалыптастырудың өтпелі кезеңінде де, олардың кейінгі тұрақты жұмыс істеуі мен дамуы кезеңінде де оң рөл атқаруға тиіс. Тұтастай алғанда, жобаларды орынды пайдалану кезінде басқару барынша аз шығынмен дағдарысты еңсеру және Қазақстанда тез қайта өркендеу үшін қажетті серпін мен жаңа мүмкіндіктер береді.</w:t>
      </w:r>
    </w:p>
    <w:p w14:paraId="610EA6C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Әлемдік тәжірибе көрсетіп отырғандай, инвестициялық саладағы қалыпқа келтіру жолы жобалық - немесе объектілі - бағдарланған ұйымдық және өндірістік құрылымдарды құру және инвестициялық жобалар мен бағдарламаларды мақсатты басқарудың тәсілдері мен әдістерін пайдалану арқылы жатыр.</w:t>
      </w:r>
    </w:p>
    <w:p w14:paraId="0A218C78"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Біздің экономикамыздың дамуындағы қалыптасқан үрдістерді, оның инвестициялық саласын және әлемдік тәжірибесін, сондай-ақ жоғарыда келтірілген талдауды назарға ала отырып, нарыққа белсенді көшу кезінде инвестициялық сала негізгі теңдестірілген және тығыз өзара іс-қимыл жасайтын төрт құрамдас бөлікті қамтитын құрылымға өзгеретінін барынша жоғары дәлдікпен болжауға болады.</w:t>
      </w:r>
    </w:p>
    <w:p w14:paraId="44169F73"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lastRenderedPageBreak/>
        <w:t>Бұл компоненттер болады:</w:t>
      </w:r>
    </w:p>
    <w:p w14:paraId="32EFE009"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-Тапсырыс берушінің, бас мердігердің құрылымдарын қайта ұйымдастыру және инвестициялық жобалар мен құрылыстарды кәсіби басқарудың жаңа ұйымдары мен фирмаларын құру негізінде құрылатын, объектілердің іске қосылуын тездетуді және инвестициялардың тиімділігін арттыру кезінде қуаттарды игеруді қамтамасыз етуге арналған жобалық-немесе объектілі-бағытталған мақсатты кәсіби басқару мен инжиниринг нысандары.</w:t>
      </w:r>
    </w:p>
    <w:p w14:paraId="37728A45"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-Қайта құрылған және жаңадан құрылған, монополиясыздандырылған, негізінен жекешелендірілген ұйымдардан, келісім-шарттар бойынша қажетті жұмыстарды, қызметтерді және жеткізілімдерді орындауды қамтамасыз ететін кәсіпорындар мен фирмалардан тұратын құрылыс кешені қуаттарының нарығын құрайтын ресурстық-бағдарланған Нысандар.</w:t>
      </w:r>
    </w:p>
    <w:p w14:paraId="402F3A1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 Нарықтық инфрақұрылым-банктер, инвестициялық компаниялар мен агенттіктер, биржалар, сақтандыру компаниялары, жарнама агенттіктері, брокерлік кеңселер, консультациялық фирмалар және басқа да құрылымдар, нарықта инвестициялық, қаржылық және материалдық - техникалық ресурстар ағындарының қозғалысын қамтамасыз етуге бағытталған.</w:t>
      </w:r>
    </w:p>
    <w:p w14:paraId="6ED4EAC2"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 Ақпараттық ағындардың қозғалысын және нарықтық жағдайларда инвестициялық процеске қатысушылардың жаңа ақпараттық қажеттіліктерін қанағаттандыруды қамтамасыз ететін ақпараттық инфрақұрылым.</w:t>
      </w:r>
    </w:p>
    <w:p w14:paraId="793F0338"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Инвестициялық қызметтің жобалық-бағдарланған нысандарына көшу табиғи болмай қоймайтын процесс болып табылады. Дегенмен, "рульсіз және желсіз" ол баяу және ауыр өтеді. Көшуді жеделдету, оған мағыналы, мақсатты сипат беру үшін заңнамалық және нормативтік-құқықтық база құруды, ғылыми-әдістемелік қамтамасыз етуді, кадрларды даярлау мен қайта даярлауды, кадрларды әзірлеу мен сынауды қамтитын іс-шаралар кешенін әзірлеу қажет.</w:t>
      </w:r>
    </w:p>
    <w:p w14:paraId="016B672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сондай-ақ оларды жаппай тарату үшін мемлекеттік қолдауды қамтамасыз ету.</w:t>
      </w:r>
    </w:p>
    <w:p w14:paraId="10619EC9"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Жобаларды басқару саласында соңғы уақытқа дейін әрекет ететін теріс және оң факторларды талдаудан және инвестициялық саланың даму болжамынан шыға отырып, инвестициялық қызметті қалпына келтірудің және онымен тығыз байланысты Қазақстанда жобаларды басқаруды дамытудың перспективалық бағыттарын айқындауға болады.</w:t>
      </w:r>
    </w:p>
    <w:p w14:paraId="0C154769"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Жүргізілген талдаудан келіп тұрғандай, бұл бағыттар негізінен: экономика саласында - жаңа жағдайлар мен нысандарда инвестициялық қызметті заңнамалық нормативтік қамтамасыз етуді қоса алғанда, нарыққа көшуге; ұйым саласында - объектілі-бағдарланған құрылымдарды кең ауқымды пайдалануға көшуге, жаңа (нарықтық) және трансформацияланатын қолда бар құрылымдарды құру және бірлесіп тиімді жұмыс істеуін ұйымдастыруға негізделеді.; басқару саласында - әлемдік жетістіктер мен тәжірибені ескере отырып, нарық жағдайында жобаларды кәсіби басқарудың құрылымдарын, әдістері мен құралдарын дамытуға көшуге; Ақпараттық технологиялар саласында - нарық жағдайында жобаларды іске асыру мен басқару саласындағы жаңа ақпараттық қажеттіліктерді зерделеуге және ақпараттандыру мен компьютерлендіру жолымен осы қажеттіліктерді толық қанағаттандыруға бағытталған.</w:t>
      </w:r>
    </w:p>
    <w:p w14:paraId="27614393"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Нақты жағдайларға сүйене отырып, инвестициялық қызметті қалпына келтіру екі тәсіл арқылы жүзеге асырылуы тиіс: орталықтандырылған және орталықсыздандырылған.</w:t>
      </w:r>
    </w:p>
    <w:p w14:paraId="596A37F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Орталықтандырылған тәсіл заңнамалық, нормативтік-құқықтық реттеуге, ғылыми-әдістемелік қамтамасыз етуге, мемлекеттік жүйе арқылы кәсіби кадрларды даярлауға қолданылуы тиіс. Сонымен бірге орталықтандырылған тәсіл орталықтандырылған көздерден инвестициялау жолымен жүзеге асырылатын халықаралық, федералдық және басқа да мемлекеттік инвестициялық бағдарламалар мен жобаларға да қолданылуы тиіс.</w:t>
      </w:r>
    </w:p>
    <w:p w14:paraId="5AF264A6"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Орталықсыздандырылған тәсіл экономиканың мемлекеттік емес және/немесе жеке секторының инвестициялық саласын қалпына келтіруге мемлекеттік қолдауды ынталандыру, ынталандыру және жүзеге асыру үшін жағдайлар жасауға және қамтамасыз етуге бағытталуы тиіс.</w:t>
      </w:r>
    </w:p>
    <w:p w14:paraId="7539EAE4" w14:textId="08C11C0A" w:rsid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УП қолданудың перспективалы салалары бойынша ұсынымдар қазіргі уақытта, біріншіден, УП әдістері мен құралдарының бар болуымен және қолдануға дайындығымен, екіншіден, оларды қолданудан алынуы мүмкін әлеуетті әсермен және ақырында, бар тәжірибемен байланысты. Осыған орай, даму мен пайдаланудың жалпы бағыттары ретінде ұсынуға болады:</w:t>
      </w:r>
    </w:p>
    <w:p w14:paraId="654395A9"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1. Техникалық жобалар (ең алдымен, біздің елде белгілі бір тәжірибе жинақталған инвестициялық және инновациялық) саласында отандық әзірлемелер трансферті және Батыс әзірлемелерінің базасында ӘБ бар әдістері мен құралдарын кең ауқымда қолдану: жобалардың ауқымы бойынша: ірі монопро жобалар, шағын және орта монопро жобалар, мультипро жобалар; жобалардың фазалары бойынша: әзірлеу, орындау, аяқтау (қосымша дамумен); ӘБ функциялары бойынша: пәндік сала, уақыт, еңбек және материалдық-техникалық ресурстар.</w:t>
      </w:r>
    </w:p>
    <w:p w14:paraId="6CD162B0"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2. Батыс әзірлемелерінің трансферті, отандық тәжірибені пайдалану және Батыспен кооперациялауда жаңа әзірлемелерді жүзеге асыру негізінде оларды алдын ала дамытумен және Қазақстанда нарыққа өту шарттарына бейімдеумен ӘБ-нің қолданыстағы әдістері мен құралдарын шектеулі қолдану.</w:t>
      </w:r>
    </w:p>
    <w:p w14:paraId="37C3E22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Техникалық жобалар саласында: УП функциялары бойынша: сапасы, құны (ең алдымен жоба алдындағы және жобалық талдау), жеткізу/Сатып алу келісімшарттары, коммуникациялар және ақпарат.</w:t>
      </w:r>
    </w:p>
    <w:p w14:paraId="70C83235"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Мұнда "тұжырымдама" және "аяқтау" моно - және мультипро жобаларының фазаларына ерекше назар аударылуы тиіс.</w:t>
      </w:r>
    </w:p>
    <w:p w14:paraId="4B3B09FF"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Ұйымдастыру жобалары саласында: жобалардың ауқымы бойынша: ірі монопро жобалар, орта және шағын монопро жобалар, мультипро жобалар; жобалардың фазалары бойынша: әзірлеу, орындау, тұжырымдама, аяқтау. Мұнда сондай-ақ жобалардың бастапқы және соңғы фазасы бойынша әзірлемелерді дамыту үшін ерекше назар мен күш-жігер қажет; ББ функциялары бойынша: пәндік сала (бірінші кезекте маркетинг, даму және өндіріс), уақыт, еңбек және материалдық-техникалық ресурстар, құн, коммуникация және ақпарат.</w:t>
      </w:r>
    </w:p>
    <w:p w14:paraId="32FB6776"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Экономикалық және әлеуметтік жобалар саласында: жобалар ауқымы бойынша: ірі монопро жобалар, орта және ұсақ монопро жобалар, мультипро жобалар (іріктеп); жобалар фазалары бойынша: орындау, тұжырымдама, әзірлеу, аяқтау; ББ функциялары бойынша: пәндік облыс, уақыт, еңбек және материалдық-техникалық ресурстар, құны, келісім-шарттар.</w:t>
      </w:r>
    </w:p>
    <w:p w14:paraId="71BCDBF4"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Соңғы екі функцияға нарыққа өту ерекшеліктерін есепке алу үшін аса назар қажет.</w:t>
      </w:r>
    </w:p>
    <w:p w14:paraId="754F016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3. Қазақстанда және шетелде бар ғылыми-техникалық жетістіктер негізінде жаңа тәсілдерді, әдістер мен құралдарды әзірлеуді және оларды іріктеп "пилот-жобаларда" өңдеуді ұйымдастыру (бірінші кезеңде Батыс серіктестерімен кооперацияда пайдалы).</w:t>
      </w:r>
    </w:p>
    <w:p w14:paraId="72F667B8"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Техникалық жобалар саласында: мегажобалар, фазалар: "тұжырымдама" және "аяқтау", сапаны, құнын, тәуекелін және сенімділігін басқару.</w:t>
      </w:r>
    </w:p>
    <w:p w14:paraId="71F5F5CD"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Ұйымдастырушылық жобалар саласында: мегажобалар, фазалар: тұжырымдама, әзірлеу, аяқтау, сапаны басқару, құны, тәуекелі мен сенімділігі, контрактілер мен коммуникациялар және ақпарат.</w:t>
      </w:r>
    </w:p>
    <w:p w14:paraId="03E3B256"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Экономикалық және әлеуметтік жобалар саласында: мегажобалар, мультипроектілер, барлық өмірлік цикл үшін, барлық функцияларды басқару.</w:t>
      </w:r>
    </w:p>
    <w:p w14:paraId="513D4045"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Қазіргі экономикадағы жобаларды басқару.</w:t>
      </w:r>
    </w:p>
    <w:p w14:paraId="35D7654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Әлеуметтік-экономикалық өзгерістердің тенденциялары және олардың құрылымға әсері және жобалау-бағытталған қызметті басқару. Қазіргі экономикадағы жобаларды басқару ерекшеліктері.</w:t>
      </w:r>
    </w:p>
    <w:p w14:paraId="2355BA00"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 xml:space="preserve">Бүгінде әлемде жобаларды басқару-Нарықтық экономика жағдайында дамудың маңызды құралдарының бірі. </w:t>
      </w:r>
      <w:r w:rsidRPr="00025DAC">
        <w:rPr>
          <w:rFonts w:ascii="Times New Roman" w:eastAsia="Times New Roman" w:hAnsi="Times New Roman" w:cs="Times New Roman"/>
          <w:sz w:val="16"/>
          <w:szCs w:val="16"/>
          <w:lang w:eastAsia="ru-RU" w:bidi="ru-RU"/>
        </w:rPr>
        <w:lastRenderedPageBreak/>
        <w:t>Жүргізілген талдау келесі қорытындыларды жасауға мүмкіндік береді:</w:t>
      </w:r>
    </w:p>
    <w:p w14:paraId="2ACD5DF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1. Ең дамыған "орындау" сатысында және қалған фазалар үшін бірнеше аз дәрежеде техникалық монопроектілерге арналған ҰЖ құралдары мен әдістері болып табылады. УП қолданудың осы салалары үшін қолда бар отандық әзірлемелерді пайдалануға болады, сондай-ақ Батыс әзірлемелерінің кейіннен бейімделуі және дамуы, әсіресе тұжырымдамалық және аяқтаушы фазалар үшін трансферті болуы мүмкін.</w:t>
      </w:r>
    </w:p>
    <w:p w14:paraId="239B20B4"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2. Жобаларды "іске асыру" фазасы үшін техникалық мультипрожобалар мен ұйымдастырушылық монопро жобаларды жүзеге асырудың әлемдік тәжірибесін оларды біздің жағдайларға сәйкес байланыстыра отырып, ішінара пайдалану және қалған үш фаза үшін әдістер мен құралдарды одан әрі дамыту мүмкін.</w:t>
      </w:r>
    </w:p>
    <w:p w14:paraId="11426DE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3. Кейбір батыс және, әсіресе, отандық тәжірибе экономикалық және әлеуметтік монопроектілер үшін, әзірлеу және іске асыру фазалары үшін пайдалы болуы мүмкін. Тұтастай алғанда, осы облыстар үшін қолда бар тәжірибе негізінде Қазақстанның қазіргі заманғы жағдайларына жауап беретін жаңа кешенді әдістер мен құралдар құру талап етіледі.</w:t>
      </w:r>
    </w:p>
    <w:p w14:paraId="3C7F594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4. Барлық үлгідегі мегажобалар, сондай-ақ экономикалық және әлеуметтік мультипроектілер үшін пайдалануға жарамды УП әдістері мен құралдары іс жүзінде жоқ. Мұнда жаңа шешімдерді іздеу және дәстүрлі емес және әдеттен тыс әдістер мен құралдарды жасау талап етіледі.</w:t>
      </w:r>
    </w:p>
    <w:p w14:paraId="7C9136F5"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13.3 жобаларды басқарудың болашағы.</w:t>
      </w:r>
    </w:p>
    <w:p w14:paraId="69F6555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Кеңес Одағында жобаларды басқарудың теориясы мен әдіснамасын дамыту көп жағдайда Батыс авторларының жұмыстарымен ынталандырылды. Сонымен қатар, ғылымды бюджеттік қаржыландыру көптеген зерттеушілер мен әзірлеушілердің ұжымдарына жобаларды басқару саласындағы әртүрлі мәселелерді шешумен толық айналысуға мүмкіндік берді. Сондықтан КСРО-да қайта құру кезеңінде бірқатар ғылыми бағыттар бойынша көптеген перспективалы және бірегей нәтижелер алынды. Бұл нәтижелер, немесе, кем дегенде, олардың кейбірі, болашақ ДБ әдістері мен құралдарын әзірлеуде УП отандық әдіснамасын әзірлеу және Батыспен кооперациялау негізіне жатқызылуы мүмкін.</w:t>
      </w:r>
    </w:p>
    <w:p w14:paraId="2A3563BE"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Жоспарлы экономика жағдайында халық шаруашылығын, салалар мен кәсіпорындарды басқаруға қатысты көптеген бағыттар шолудан тыс қалды. Оның ішінде: салалық жоспарлау және баланс әдістері; АБЖ және АБЖ құрылысы бойынша жұмыстар, халық шаруашылығында бағдарламалық-мақсатты басқару, күрделі салымдардың тиімділігі және т.б.</w:t>
      </w:r>
    </w:p>
    <w:p w14:paraId="5D404823"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Осы бағыттардың жинақталған нәтижелері нарықтық экономика тұрғысынан қайта ойластырылуы және шығармашылық қайта өңделуі тиіс. Әрине, мұнда PP үшін пайдалы және қызықты көп.</w:t>
      </w:r>
    </w:p>
    <w:p w14:paraId="061C57EF"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Бағыт КСРО-да соңғы жылдары дамыды және түрлі қызмет салаларында сынақтан өтті. Тұжырымдамалық жобалау әдісінің мәні, ұсынылған және дамыған ғылыми</w:t>
      </w:r>
    </w:p>
    <w:p w14:paraId="086630E9"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С. П. Никаноров мектебі логикалық аппараттың көмегімен кез келген күрделілік деңгейіндегі пәндік салаларды сипаттауды формалдау мүмкіндігі болып табылады. Әдіс шеңберінде жобаларды дамытудың жол берілетін саласын талдауды жүзеге асыруға және қандай да бір мағынада барлық ықтимал баламалардан жобаны іске асырудың "үздік" тұжырымдамасын таңдауға мүмкіндік беретін әдістемелік және аспаптық құралдар құрылады.</w:t>
      </w:r>
    </w:p>
    <w:p w14:paraId="536F2041"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Жобаларды жүзеге асыру процестерін модельдеу жұмысты ұйымдастыруды жоспарлау және Жобаны басқару үшін оны жүзеге асыру тұжырымдамасы таңдалғаннан кейін қажет. Бүгінгі таңда бұл іс-әрекеттегі әдістемелік ядро. Модельдердің нақты процестерге және УП шешілетін міндеттердің талаптарына барабарлылық дәрежесіне қабылданатын шешімдердің тиімділігі мен УП жүйелерінің барлық жұмысының байланысты.</w:t>
      </w:r>
    </w:p>
    <w:p w14:paraId="735D6E77" w14:textId="69352DA2" w:rsid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Болашаққа "өсу" мүмкіндігі бар процестерді модельдеу әдістерін дамытудың перспективалы бағыттары ретінде келесілерді атап өтеміз.</w:t>
      </w:r>
    </w:p>
    <w:p w14:paraId="11D2DEAC"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А. жалпыланған желілік модельдер (ОСМ) 70-жылдары әзірленді және 80-жылдары в. И. Воропаев мектебі дамыған. Нәтижесінде желілік модельдердің жаңа түрі құрылды, дәстүрлі типті желілік үлгілерге қарағанда жалпы және күшті. Жалпыланған желілік модельдердің атауын алған бұл модельдер әсіресе күрделі жобаларды сипаттау кезінде, соның ішінде құрылыста пайдалы болды.</w:t>
      </w:r>
    </w:p>
    <w:p w14:paraId="61B52DE5"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Бұл модельдерді пайдалана отырып, салыстырмалы түрде күрделі емес техниканың көмегімен жоба жұмыстарының арасындағы өзара байланысты көрсетуге болады, жұмыстарды біріктіріп орындау, үздіксіздік сияқты, оларды жүргізудің ауыспалы қарқындылығын ескеру және "ерте емес" типті және "кеш емес" типті тәуелділік және шектеу моделінде, жалпы жобаға, жекелеген жұмыстарға және жұмыстар бөлігінде әсіресе маңызды болып табылады.</w:t>
      </w:r>
    </w:p>
    <w:p w14:paraId="7EAE99F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ОСМ-ны одан әрі дамыту үдерістердің баламаларын және ықтимал сипатын, ОСМ талдау әдістерін және жобаны орындау уақытын, ресурстарын, құны мен тәуекелін есептеу бағытында жүзеге асырылуы тиіс.</w:t>
      </w:r>
    </w:p>
    <w:p w14:paraId="0B5632B0"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 иерархиялық модельдер әр түрлі деңгейдегі нақтылаудың байланысқан модельдер жүйесін білдіреді және жобаның әр түрлі қатысушылары мен басқару деңгейлерінің мүдделерін бейнелейтін жобаның әр түрлі декомпозициялық құрылымымен мүмкін. Батыста модельдердің осындай жүйелерін құрудың белгілі тәсілдеріне қарағанда, мұнда "ең төменгі" деңгейдің бөлшекті моделін тұрақты еңбекті қажетсінетін қайта есептеуді болдырмау мүмкін.</w:t>
      </w:r>
    </w:p>
    <w:p w14:paraId="04E35133"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Иерархиялық модельдерге жобаның егжей-тегжейлі желісі іс жүзінде қолайсыз болуы мүмкін, ал қатысушылар саны мен басқару деңгейлері айтарлықтай үлкен болатын ірі жобалар мен бағдарламаларды әзірлеу және іске асыру фазалары үшін ерекше артықшылық беру керек. Сондықтан, ҮЖ үшін үрдістерді моделдеудің дәстүрлі тәсілдері өнімді емес.</w:t>
      </w:r>
    </w:p>
    <w:p w14:paraId="1FAEBB0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В. жобаны орындауға әсер ететін әртүрлі кездейсоқ факторларды ескеретін жобаларды іске асыру процестерінің Стохастикалық үлгілері кеңес авторларының жанында ұсынылды және дамыды.</w:t>
      </w:r>
    </w:p>
    <w:p w14:paraId="0D4A3A3D"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Бұл модельдер жобаны белгіленген мерзімде орындамау тәуекелін бағалау немесе оңтайландыру (бұл жағдайда - төмендету) үшін пайдаланылды. Осы бағытқа ұйымдастырушылық-технологиялық сенімділік теориясы жатады.</w:t>
      </w:r>
    </w:p>
    <w:p w14:paraId="73A8F433"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Г. Имитациялық модельдеу, оның мәні ЭЕМ-де арнайы құрылған математикалық модельдің көмегімен күрделі жүйенің жұмыс істеуін жасанды жаңғыртудан тұрады, Батыста 60-жылдардың аяғында 70-жылдардың басында қалыптасты және КСРО-да өзінің дамуын алды, ол ұйымдастыру, экономикалық және күрделі өндірістік жүйелерді сипаттау және зерттеу үшін әртүрлі салаларда қолданылды, белгісіздік пен тәуекелді ескеру қажет, ал басқа әдістер аз өнімді болып табылады.</w:t>
      </w:r>
    </w:p>
    <w:p w14:paraId="33AD31A7"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Имитациялық модельдеудің әдістері мен құралдары күрделі жобалар тұжырымдамасын қалыптастыруға, сондай - ақ ТЖ күрделі жүйелерін талдау мен синтездеуге арналған қуатты заманауи құрал ретінде қолданылуы мүмкін. Тиісінше, оларды жобалардың тұжырымдамалық фазасында, олардың белгісіздігі мен тәуекелін ескере отырып, жобаларды бастау және орындау сатыларында, сондай-ақ басқарудың ұйымдық-экономикалық жүйелерінде шешімдер қабылдау процестерін модельдеу және ұтымды ұйымдастыру құрылымдарын таңдау үшін пайдалану неғұрлым жақсырақ.</w:t>
      </w:r>
    </w:p>
    <w:p w14:paraId="1656A784"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Бұл бағытты дамыту ҚО жүйелерін автоматтандырылған жобалаудың әдістері мен құралдарын құруға және фирмалар мен компаниялардың ұйымдық жобаларын (көп бейінді басқару жүйелерін) қалыптастыруға алып келеді. Бұл әсіресе қазіргі ұйымдар мен кәсіпорындардың нарыққа көшуі кезінде оларды трансформациялауда маңызды болып отыр.</w:t>
      </w:r>
    </w:p>
    <w:p w14:paraId="1565303F"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Бірінші кезекте мұндай әдістер мен құралдарды пайдаланудың тұжырымдамалық және бастапқы кезеңдерінде кең ауқымды жобалар мен бағдарламаларды қажет етеді.</w:t>
      </w:r>
    </w:p>
    <w:p w14:paraId="65F8AAB0"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Шектелген ресурстарды тарату есептерін шешудің әртүрлі тәсілдері мен эвристикалық алгоритмдері әзірленді. Бұл алгоритмдердің жалпы идеясы ресурстарды бөлу процесс ретінде қарастырылады. Алгоритм жағдайды талдайды және үлестірудің қолайлы пайызын таңдайды. Осы алгоритмдер бойынша іске асырылған бағдарламалар ситуациялық талдау, өзін-өзі оқыту блоктарымен жабдықталған және пайдаланушының дамыған интерфейсі болды (АККОРД бағдарламалары; "Калибровка-2 "; "A-PLAN"; ТПР КП; SPIDER PROJECT).</w:t>
      </w:r>
    </w:p>
    <w:p w14:paraId="0FB91EEC"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lastRenderedPageBreak/>
        <w:t>КСРО-да ұсынылған алгоритмдердің идеялары бүгінгі күнге дейін өзекті болып қала береді. Олар жаңа ұрпақтың бағдарламалық кешендерін дамыту кезінде табыспен пайдаланылуы мүмкін.</w:t>
      </w:r>
    </w:p>
    <w:p w14:paraId="4BE3F650"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КСРО-да жекелеген жобаларға емес, бір уақытта көптеген жобаларды орындаған құрылыс ұйымдарына көп көңіл бөлінгендіктен, 70-ші жылдары (батыстан айтарлықтай ертерек) ұйым бағдарламасы шеңберінде барлық жобаларды басқаруға арналған бағдарламалық құралдар жасалды. Бұл бағдарламалар перспективалық жоспарлаудан жедел басқаруға дейінгі барлық сатыларда пайдаланылды және бір мезгілде жүздеген жобалармен жұмыс істей алды. Олардың көмегімен орындаушылардың әртүрлі жоспарлары, материалдық-техникалық жабдықтау құжаттары, бригадалық және жалға берілетін мердігерлік қалыптасты. Мұндай әзірлемелерге "A-PLAN", "БАЛАНСИР", "ГАУСС", ТОККАТА, SPIDER PROJECT бағдарламалары жатады.</w:t>
      </w:r>
    </w:p>
    <w:p w14:paraId="036D25D8"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Бұл бағыттағы ғылыми нәтижелер мен бағдарламалық әзірлемелер жаңа буындарда көптеген жобалық басқарудың әдістері мен құралдарын қолдануды табады. Олар қазір де ірі жобаларды, көптеген жеке жобалар мен тапсырыстарды орындайтын ұйымдарды басқарудың инвестициялық бағдарламаларын жоспарлау және бақылау үшін пайдаланылады.</w:t>
      </w:r>
    </w:p>
    <w:p w14:paraId="0D518D96"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Бұл бағыт жобаларды басқарудың әдіснамасы мен технологиясына қатысты және оның маңызды құрамдас бөлігі болып табылады.</w:t>
      </w:r>
    </w:p>
    <w:p w14:paraId="0CB17D3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Бұл бағыт әлі ұзақ уақыт бойы өзекті болып қалады. Қазір, УП Батыс құралдары біздің елде енгізілгенде, олардың бейімделуі жүріп жатыр, олар "нарықтық" жағдайларда өздері елеулі өзгерістерге ұшырайтын жобалық-сметалық және нормативтік деректер базаларымен интерфейсті қамтамасыз ету өте маңызды.</w:t>
      </w:r>
    </w:p>
    <w:p w14:paraId="101DC35C"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Белсенді жүйелер, ғылыми бағыт ретінде КСРО-да В. Н. Бурковтың ғылыми мектебі дамыған.</w:t>
      </w:r>
    </w:p>
    <w:p w14:paraId="60DC571E"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Белсенді жүйелер теориясында орындаушылардан алынатын ақпараттың шынайылығын және олардың жоспарланған мерзімде жұмыстарды орындауға мүдделілігін ескере отырып, жобаларды басқару үшін ұйымдастыру - экономикалық тетіктер әзірленді. Осылайша, теориямен ұсынылатын тетіктерде анық түрде жобаны орындау және оны басқару процестеріне елеулі әсер ететін адами фактор ескеріледі.</w:t>
      </w:r>
    </w:p>
    <w:p w14:paraId="00070AA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Белсенді жүйелермен байланысты ғылыми нәтижелер мен практикалық әзірлемелер ОЖ-да жобаларды әзірлеу және іске асыру сатыларында қолданылады. Бұл нәтижелерді адам факторының маңызы зор экономикалық және әлеуметтік жобалар үшін пайдалану әсіресе пайдалы.</w:t>
      </w:r>
    </w:p>
    <w:p w14:paraId="293103C3"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Бағыт сараптамалық жүйелер мен білім базалары соңғы уақытта жаңа ақпараттық технологияларда үлкен рөл атқарады. Бұл облыс Батыста да, біздің елде де өте кең және белсенді дамып келе жатқандықтан, осы бағыттың УП қосымшасының барлық салалары үшін маңызын атап көрсететіндігімен шектелеміз. Жобаны жүзеге асырудың бастапқы және соңғы кезеңдерінде сараптамалық жүйелер мен білім базаларын пайдалану неғұрлым перспективалы. Бірінші жағдайда қуатты ақпараттық құралдарды пайдалану жобаның неғұрлым перспективалы және қолайлы тұжырымдамасын қалыптастыруға мүмкіндік береді. Екіншіден, бұл қаражатты әр түрлі аяқталған жобаларды іске асыру тәжірибесін жинақтау және талдау және оны жаңа жобалармен жұмыс істеу кезінде есепке алу үшін пайдалануға мүмкіндік береді.</w:t>
      </w:r>
    </w:p>
    <w:p w14:paraId="1BC835EC" w14:textId="58BA360C" w:rsid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Қолданбалы статистикадағы робастық әдістер 1965 жылдан бастап АҚШ-та және біздің елде әзірленеді. Жобалаудың барлық кезеңдерінде белгісіздік жағдайларында жобаларды басқару міндеттерінде робастық тәсілдерді қолдану б. П. Титаренконың робастық технологиясын құруға бағытталды.</w:t>
      </w:r>
    </w:p>
    <w:p w14:paraId="6EF147D2"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Робастық технология-бұл белгісіздік жағдайында жобаны басқарудың барлық фазаларында жобалық шешімдерді қолдауға арналған әдіснамалық, материалдық және бағдарламалық құралдардың жиынтығы.</w:t>
      </w:r>
    </w:p>
    <w:p w14:paraId="395D31BC"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Робастық тәсіл нарықтық экономика жағдайына бағытталған, кездейсоқ факторлар мен тәуекелдік жағдайлардың болуын ескереді. Математикалық модельдер белгісіздік жағдайларын сипаттайды, ал оларды талдаудың робастық (тұрақты) әдістері басқару процестерінің сипаты туралы толық емес ақпарат жағдайында сенімді шешімдер беруге мүмкіндік береді.</w:t>
      </w:r>
    </w:p>
    <w:p w14:paraId="4749C93F"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Робастық технология жобаның барлық өмір циклінің кезеңдерін қамтиды, инвестиция алдындағы және жобаның аяқталу кезеңіне дейін. Ол тәуекелдік жағдайларға талдау жүргізуге және тәуекелді басқаруды жүзеге асыруға, оларды орындау мерзімдерінің толық емес детерминациялануы, ресурстардың жетіспеушілігі және т. б. жағдайларында жұмыстарды жоспарлауды ұйымдастыруға мүмкіндік береді.</w:t>
      </w:r>
    </w:p>
    <w:p w14:paraId="74BA4874"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Робастық технология күрделі жобаларды басқару үшін қуатты заманауи құрал ретінде пайдаланылуы мүмкін.</w:t>
      </w:r>
    </w:p>
    <w:p w14:paraId="297A90C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Қазақстандағы УП Қосымшаларының перспективті салалары. Қазақстанда және батыста әртүрлі қызмет салаларында уж қолдану тәжірибесіне, әдістер мен құралдардың жай - күйін талдауға сүйене отырып, сондай-ақ Қазақстанда қалыптасатын жобалар нарығының конъюнктурасын ескере отырып, қазіргі уақытта уж қол жетімді әдістері мен құралдарын және жақын болашақта әлеуетті әдістер мен құралдарды тиімді қолданудың нақты аясын белгілеуге болады.</w:t>
      </w:r>
    </w:p>
    <w:p w14:paraId="5E115898"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УП қазіргі әдістері мен құралдарын жекелеген жобаларды дәстүрлі салаларда жүзеге асыру үшін табысты пайдалануға болады:</w:t>
      </w:r>
    </w:p>
    <w:p w14:paraId="5A80966F"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Техникалық. Аяқталмаған объектілерді шаруашылық айналымға енгізу. Қолданыстағы кәсіпорындарда өнеркәсіптік және басқа да өндіріс түрлерін қайта құру, қайта бейіндеу және жаңа технологияларды қолданысқа енгізу. Өнеркәсіптік және азаматтық мақсаттағы объектілердің жаңа құрылысы, оның ішінде әскери қызметшілерге арналған тұрғын үй. Ауыл шаруашылығы өндірісінің, өңдеу, сақтау және өнімді бөлу жобалары, оның ішінде экологиялық таза. Энергетикалық жобалар. Тау-кен өнеркәсібінің жобалары. Инфрақұрылым жобалары (көлік, байланыс, коммуникация, Ақпараттық жүйелер және т.б.). Қорғаныс кәсіпорындарының конверсиясы (технологиялық аспектілер). Аэроғарыштық жүйелер.</w:t>
      </w:r>
    </w:p>
    <w:p w14:paraId="12180AA7"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Ұйымдастыру. Ірі ұйымдастыру іс-шараларын өткізу, оның ішінде халықаралық: съездер, конгрестер, фестивальдар, симпозиумдар, спартакиадалар, чемпионаттар, олимпиадалар және басқа басқару және ақпарат жүйелері (үкіметтік, муниципалдық, жеке ұйымдар).</w:t>
      </w:r>
    </w:p>
    <w:p w14:paraId="3F5D527A"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Экономикалық және әлеуметтік. Білім беру және оқыту саласындағы жекелеген жобалар. Жекелеген тендерлерді, Сауда-саттықты, аукциондарды ұйымдастыру. Банктік қызмет көрсетуді ақпараттандыру. Сақтандыру жүйелері. Рекреация және демалыс. Қызмет көрсету саласы және т. б.</w:t>
      </w:r>
    </w:p>
    <w:p w14:paraId="7A31F9C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Мұнда маңызды міндет, әсіресе дәстүрлі салаларда, осы әдістер мен құралдарды жобалардың әртүрлі түрлерінде іс жүзінде пысықтау үшін, оларды ұйымдық формалар мен қолданыстағы экономикалық тетіктерге "енгізу", жобаларды жүзеге асырудың нақты жағдайларында және олардың орталарын тексеру, ақыр соңында мамандарға "дәм" қазіргі заманғы УП-ға үйрету және оның дамуына қажеттілікті қалыптастыру болып табылады.</w:t>
      </w:r>
    </w:p>
    <w:p w14:paraId="6A48DB07"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Бұл кезеңде ҰЖ бағдарламалық құралдарын таңдауға мұқият қарау маңызды. Біздің нарықта көбірек болатын Батыс бағдарламаларын да мұқият талдау қажет.</w:t>
      </w:r>
    </w:p>
    <w:p w14:paraId="0807862B"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Қолданыстағы әзірлемелерді бейімдеу және дамыту. Алайда, көп бөлігі бойынша УП әдістері мен құралдары біздің еліміздің бүгінгі болмысына, жағдайларына қандай да бір дәрежеде бейімделуі тиіс.</w:t>
      </w:r>
    </w:p>
    <w:p w14:paraId="23B2E54E"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Батыста табысты пайдаланылатын және жоспарлы-бөлу экономикасында қолданылған әдістер мен құралдардың бір бөлігі іріктеу жобаларында уақытша шектеулі қолдану табылуы мүмкін. Бұл әзірлемелер Қазақстанда нарыққа көшу жағдайларына және өзгерістерге қарай бейімделуді және дамытуды талап етеді. Бұл жұмыстардың негізіне УП батыстық әдістері мен құралдарының трансферті, отандық тәжірибе мен Батыспен кооперация қойылуы тиіс.</w:t>
      </w:r>
    </w:p>
    <w:p w14:paraId="2113B854"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 xml:space="preserve">УП бейімделген әдістері мен құралдарын бірінші кезекте қолдану мынадай салаларда ұсынылады: нарықтық экономика жағдайында жаңа ұйымдар мен кәсіпорындар құру; білім беруді дамыту және кадрлар даярлау саласындағы бағдарламалар; тендерлер, сауда - саттық, аукциондар жүйелері; банктік және аудиторлық жүйелер; әлеуметтік қамтамасыз </w:t>
      </w:r>
      <w:r w:rsidRPr="00025DAC">
        <w:rPr>
          <w:rFonts w:ascii="Times New Roman" w:eastAsia="Times New Roman" w:hAnsi="Times New Roman" w:cs="Times New Roman"/>
          <w:sz w:val="16"/>
          <w:szCs w:val="16"/>
          <w:lang w:eastAsia="ru-RU" w:bidi="ru-RU"/>
        </w:rPr>
        <w:lastRenderedPageBreak/>
        <w:t>ету жүйелері; тұрғын үймен қамтамасыз ету жүйелері; отын-энергетикалық жүйелерді дамыту; техникалық артта қалуды еңсеру бағдарламалары (оның ішінде техноорталықтар, Инновациялық жүйелер және т. б.); қоршаған ортаны қорғау; тұрмыстық және өнеркәсіптік қалдықтарды кәдеге жарату жүйесі; өңірлерді, халықтық - шаруашылық кешендерін стратегиялық дамыту Бағдарламалары және т. б.</w:t>
      </w:r>
    </w:p>
    <w:p w14:paraId="0C9343F0" w14:textId="77777777" w:rsidR="00025DAC" w:rsidRP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Дайын әдістер мен құралдар жоқ ҰЖ қолданудың жаңа салалары мен шарттары үшін "пилот-жобаларда"деп аталатын іріктемелі әзірлемелерді ұйымдастыру және оларды сынақтан өткізу талап етіледі. Бұл ретте қолда бар ғылыми-техникалық жетістіктерді (отандық та, шетелдік де), қосымшаның дәстүрлі салаларында жинақталған УП тәжірибесін және тығыз халықаралық ынтымақтастықты пайдалану қажет. Дәл осы жерде біздің еліміздің дәстүрлі жоғары ғылыми әлеуетін пайдалану керек.</w:t>
      </w:r>
    </w:p>
    <w:p w14:paraId="7AB841B9" w14:textId="08A2045D" w:rsidR="00025DAC" w:rsidRDefault="00025DAC" w:rsidP="00025DAC">
      <w:pPr>
        <w:widowControl w:val="0"/>
        <w:autoSpaceDE w:val="0"/>
        <w:autoSpaceDN w:val="0"/>
        <w:spacing w:before="4" w:after="0" w:line="240" w:lineRule="auto"/>
        <w:ind w:left="399" w:right="391" w:firstLine="566"/>
        <w:jc w:val="both"/>
        <w:rPr>
          <w:rFonts w:ascii="Times New Roman" w:eastAsia="Times New Roman" w:hAnsi="Times New Roman" w:cs="Times New Roman"/>
          <w:sz w:val="16"/>
          <w:szCs w:val="16"/>
          <w:lang w:eastAsia="ru-RU" w:bidi="ru-RU"/>
        </w:rPr>
      </w:pPr>
      <w:r w:rsidRPr="00025DAC">
        <w:rPr>
          <w:rFonts w:ascii="Times New Roman" w:eastAsia="Times New Roman" w:hAnsi="Times New Roman" w:cs="Times New Roman"/>
          <w:sz w:val="16"/>
          <w:szCs w:val="16"/>
          <w:lang w:eastAsia="ru-RU" w:bidi="ru-RU"/>
        </w:rPr>
        <w:t>УП бойынша жаңа әзірлемелер жасау мынадай салаларда нысаналы бағдарламалар мен ірі жобалар түрінде реформалар мен қайта құруларды неғұрлым тиімді жүргізуге бағытталуы тиіс: өтпелі кезеңде халықтың қамтамасыз етілмеген топтарын әлеуметтік қорғау және әлеуметтік қызметтерді дамыту; дәрі-дәрмектермен және медициналық қызмет көрсетумен қамтамасыз ету жүйесі; табиғи және экологиялық апаттардың, әлеуметтік күйзелістер мен қақтығыстардың салдарларын еңсеру; нарықтық экономика жағдайлары үшін білім беру және кадрлар даярлау жүйесін қайта құру; ; қаржы, несие және салық жүйелерін реформалау; жеке секторды монополиясыздандыру, жекешелендіру және қолдау бағдарламалары; құқықтық мемлекеттің билік институттарын құру; нарықтық экономикада заңнама және құқықтық реттеу жүйесін құру; қорғаныс және қауіпсіздік жүйелерін құру; білім трансферті жүйесі; табиғи ресурстарды ұтымды пайдалану; ірі қалалар мен олардың инфрақұрылымын дамыту және т. б.</w:t>
      </w:r>
      <w:bookmarkStart w:id="0" w:name="_GoBack"/>
      <w:bookmarkEnd w:id="0"/>
    </w:p>
    <w:sectPr w:rsidR="00025D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72DD2"/>
    <w:multiLevelType w:val="multilevel"/>
    <w:tmpl w:val="212AC400"/>
    <w:lvl w:ilvl="0">
      <w:start w:val="13"/>
      <w:numFmt w:val="decimal"/>
      <w:lvlText w:val="%1"/>
      <w:lvlJc w:val="left"/>
      <w:pPr>
        <w:ind w:left="525" w:hanging="525"/>
      </w:pPr>
      <w:rPr>
        <w:rFonts w:hint="default"/>
      </w:rPr>
    </w:lvl>
    <w:lvl w:ilvl="1">
      <w:start w:val="1"/>
      <w:numFmt w:val="decimal"/>
      <w:lvlText w:val="%1.%2"/>
      <w:lvlJc w:val="left"/>
      <w:pPr>
        <w:ind w:left="3897" w:hanging="525"/>
      </w:pPr>
      <w:rPr>
        <w:rFonts w:hint="default"/>
      </w:rPr>
    </w:lvl>
    <w:lvl w:ilvl="2">
      <w:start w:val="1"/>
      <w:numFmt w:val="decimal"/>
      <w:lvlText w:val="%1.%2.%3"/>
      <w:lvlJc w:val="left"/>
      <w:pPr>
        <w:ind w:left="7464" w:hanging="720"/>
      </w:pPr>
      <w:rPr>
        <w:rFonts w:hint="default"/>
      </w:rPr>
    </w:lvl>
    <w:lvl w:ilvl="3">
      <w:start w:val="1"/>
      <w:numFmt w:val="decimal"/>
      <w:lvlText w:val="%1.%2.%3.%4"/>
      <w:lvlJc w:val="left"/>
      <w:pPr>
        <w:ind w:left="11196" w:hanging="1080"/>
      </w:pPr>
      <w:rPr>
        <w:rFonts w:hint="default"/>
      </w:rPr>
    </w:lvl>
    <w:lvl w:ilvl="4">
      <w:start w:val="1"/>
      <w:numFmt w:val="decimal"/>
      <w:lvlText w:val="%1.%2.%3.%4.%5"/>
      <w:lvlJc w:val="left"/>
      <w:pPr>
        <w:ind w:left="14568" w:hanging="1080"/>
      </w:pPr>
      <w:rPr>
        <w:rFonts w:hint="default"/>
      </w:rPr>
    </w:lvl>
    <w:lvl w:ilvl="5">
      <w:start w:val="1"/>
      <w:numFmt w:val="decimal"/>
      <w:lvlText w:val="%1.%2.%3.%4.%5.%6"/>
      <w:lvlJc w:val="left"/>
      <w:pPr>
        <w:ind w:left="18300" w:hanging="1440"/>
      </w:pPr>
      <w:rPr>
        <w:rFonts w:hint="default"/>
      </w:rPr>
    </w:lvl>
    <w:lvl w:ilvl="6">
      <w:start w:val="1"/>
      <w:numFmt w:val="decimal"/>
      <w:lvlText w:val="%1.%2.%3.%4.%5.%6.%7"/>
      <w:lvlJc w:val="left"/>
      <w:pPr>
        <w:ind w:left="21672" w:hanging="1440"/>
      </w:pPr>
      <w:rPr>
        <w:rFonts w:hint="default"/>
      </w:rPr>
    </w:lvl>
    <w:lvl w:ilvl="7">
      <w:start w:val="1"/>
      <w:numFmt w:val="decimal"/>
      <w:lvlText w:val="%1.%2.%3.%4.%5.%6.%7.%8"/>
      <w:lvlJc w:val="left"/>
      <w:pPr>
        <w:ind w:left="25404" w:hanging="1800"/>
      </w:pPr>
      <w:rPr>
        <w:rFonts w:hint="default"/>
      </w:rPr>
    </w:lvl>
    <w:lvl w:ilvl="8">
      <w:start w:val="1"/>
      <w:numFmt w:val="decimal"/>
      <w:lvlText w:val="%1.%2.%3.%4.%5.%6.%7.%8.%9"/>
      <w:lvlJc w:val="left"/>
      <w:pPr>
        <w:ind w:left="29136" w:hanging="2160"/>
      </w:pPr>
      <w:rPr>
        <w:rFonts w:hint="default"/>
      </w:rPr>
    </w:lvl>
  </w:abstractNum>
  <w:abstractNum w:abstractNumId="1" w15:restartNumberingAfterBreak="0">
    <w:nsid w:val="14A417F0"/>
    <w:multiLevelType w:val="hybridMultilevel"/>
    <w:tmpl w:val="0BA63420"/>
    <w:lvl w:ilvl="0" w:tplc="0CA45F20">
      <w:start w:val="1"/>
      <w:numFmt w:val="decimal"/>
      <w:lvlText w:val="%1."/>
      <w:lvlJc w:val="left"/>
      <w:pPr>
        <w:ind w:left="399" w:hanging="336"/>
      </w:pPr>
      <w:rPr>
        <w:rFonts w:ascii="Times New Roman" w:eastAsia="Times New Roman" w:hAnsi="Times New Roman" w:cs="Times New Roman" w:hint="default"/>
        <w:w w:val="99"/>
        <w:sz w:val="28"/>
        <w:szCs w:val="28"/>
        <w:lang w:val="ru-RU" w:eastAsia="ru-RU" w:bidi="ru-RU"/>
      </w:rPr>
    </w:lvl>
    <w:lvl w:ilvl="1" w:tplc="C8D64CD4">
      <w:numFmt w:val="bullet"/>
      <w:lvlText w:val="•"/>
      <w:lvlJc w:val="left"/>
      <w:pPr>
        <w:ind w:left="1374" w:hanging="336"/>
      </w:pPr>
      <w:rPr>
        <w:rFonts w:hint="default"/>
        <w:lang w:val="ru-RU" w:eastAsia="ru-RU" w:bidi="ru-RU"/>
      </w:rPr>
    </w:lvl>
    <w:lvl w:ilvl="2" w:tplc="D4044C1E">
      <w:numFmt w:val="bullet"/>
      <w:lvlText w:val="•"/>
      <w:lvlJc w:val="left"/>
      <w:pPr>
        <w:ind w:left="2348" w:hanging="336"/>
      </w:pPr>
      <w:rPr>
        <w:rFonts w:hint="default"/>
        <w:lang w:val="ru-RU" w:eastAsia="ru-RU" w:bidi="ru-RU"/>
      </w:rPr>
    </w:lvl>
    <w:lvl w:ilvl="3" w:tplc="9F0885F8">
      <w:numFmt w:val="bullet"/>
      <w:lvlText w:val="•"/>
      <w:lvlJc w:val="left"/>
      <w:pPr>
        <w:ind w:left="3323" w:hanging="336"/>
      </w:pPr>
      <w:rPr>
        <w:rFonts w:hint="default"/>
        <w:lang w:val="ru-RU" w:eastAsia="ru-RU" w:bidi="ru-RU"/>
      </w:rPr>
    </w:lvl>
    <w:lvl w:ilvl="4" w:tplc="189807D8">
      <w:numFmt w:val="bullet"/>
      <w:lvlText w:val="•"/>
      <w:lvlJc w:val="left"/>
      <w:pPr>
        <w:ind w:left="4297" w:hanging="336"/>
      </w:pPr>
      <w:rPr>
        <w:rFonts w:hint="default"/>
        <w:lang w:val="ru-RU" w:eastAsia="ru-RU" w:bidi="ru-RU"/>
      </w:rPr>
    </w:lvl>
    <w:lvl w:ilvl="5" w:tplc="69182554">
      <w:numFmt w:val="bullet"/>
      <w:lvlText w:val="•"/>
      <w:lvlJc w:val="left"/>
      <w:pPr>
        <w:ind w:left="5272" w:hanging="336"/>
      </w:pPr>
      <w:rPr>
        <w:rFonts w:hint="default"/>
        <w:lang w:val="ru-RU" w:eastAsia="ru-RU" w:bidi="ru-RU"/>
      </w:rPr>
    </w:lvl>
    <w:lvl w:ilvl="6" w:tplc="70086386">
      <w:numFmt w:val="bullet"/>
      <w:lvlText w:val="•"/>
      <w:lvlJc w:val="left"/>
      <w:pPr>
        <w:ind w:left="6246" w:hanging="336"/>
      </w:pPr>
      <w:rPr>
        <w:rFonts w:hint="default"/>
        <w:lang w:val="ru-RU" w:eastAsia="ru-RU" w:bidi="ru-RU"/>
      </w:rPr>
    </w:lvl>
    <w:lvl w:ilvl="7" w:tplc="A87A03CC">
      <w:numFmt w:val="bullet"/>
      <w:lvlText w:val="•"/>
      <w:lvlJc w:val="left"/>
      <w:pPr>
        <w:ind w:left="7220" w:hanging="336"/>
      </w:pPr>
      <w:rPr>
        <w:rFonts w:hint="default"/>
        <w:lang w:val="ru-RU" w:eastAsia="ru-RU" w:bidi="ru-RU"/>
      </w:rPr>
    </w:lvl>
    <w:lvl w:ilvl="8" w:tplc="0C044E9E">
      <w:numFmt w:val="bullet"/>
      <w:lvlText w:val="•"/>
      <w:lvlJc w:val="left"/>
      <w:pPr>
        <w:ind w:left="8195" w:hanging="336"/>
      </w:pPr>
      <w:rPr>
        <w:rFonts w:hint="default"/>
        <w:lang w:val="ru-RU" w:eastAsia="ru-RU" w:bidi="ru-RU"/>
      </w:rPr>
    </w:lvl>
  </w:abstractNum>
  <w:abstractNum w:abstractNumId="2" w15:restartNumberingAfterBreak="0">
    <w:nsid w:val="2A9D0838"/>
    <w:multiLevelType w:val="multilevel"/>
    <w:tmpl w:val="E4D2DB6A"/>
    <w:lvl w:ilvl="0">
      <w:start w:val="13"/>
      <w:numFmt w:val="decimal"/>
      <w:lvlText w:val="%1"/>
      <w:lvlJc w:val="left"/>
      <w:pPr>
        <w:ind w:left="525" w:hanging="525"/>
      </w:pPr>
      <w:rPr>
        <w:rFonts w:hint="default"/>
      </w:rPr>
    </w:lvl>
    <w:lvl w:ilvl="1">
      <w:start w:val="3"/>
      <w:numFmt w:val="decimal"/>
      <w:lvlText w:val="%1.%2"/>
      <w:lvlJc w:val="left"/>
      <w:pPr>
        <w:ind w:left="4422" w:hanging="525"/>
      </w:pPr>
      <w:rPr>
        <w:rFonts w:hint="default"/>
      </w:rPr>
    </w:lvl>
    <w:lvl w:ilvl="2">
      <w:start w:val="1"/>
      <w:numFmt w:val="decimal"/>
      <w:lvlText w:val="%1.%2.%3"/>
      <w:lvlJc w:val="left"/>
      <w:pPr>
        <w:ind w:left="8514" w:hanging="720"/>
      </w:pPr>
      <w:rPr>
        <w:rFonts w:hint="default"/>
      </w:rPr>
    </w:lvl>
    <w:lvl w:ilvl="3">
      <w:start w:val="1"/>
      <w:numFmt w:val="decimal"/>
      <w:lvlText w:val="%1.%2.%3.%4"/>
      <w:lvlJc w:val="left"/>
      <w:pPr>
        <w:ind w:left="12771" w:hanging="1080"/>
      </w:pPr>
      <w:rPr>
        <w:rFonts w:hint="default"/>
      </w:rPr>
    </w:lvl>
    <w:lvl w:ilvl="4">
      <w:start w:val="1"/>
      <w:numFmt w:val="decimal"/>
      <w:lvlText w:val="%1.%2.%3.%4.%5"/>
      <w:lvlJc w:val="left"/>
      <w:pPr>
        <w:ind w:left="16668" w:hanging="1080"/>
      </w:pPr>
      <w:rPr>
        <w:rFonts w:hint="default"/>
      </w:rPr>
    </w:lvl>
    <w:lvl w:ilvl="5">
      <w:start w:val="1"/>
      <w:numFmt w:val="decimal"/>
      <w:lvlText w:val="%1.%2.%3.%4.%5.%6"/>
      <w:lvlJc w:val="left"/>
      <w:pPr>
        <w:ind w:left="20925" w:hanging="1440"/>
      </w:pPr>
      <w:rPr>
        <w:rFonts w:hint="default"/>
      </w:rPr>
    </w:lvl>
    <w:lvl w:ilvl="6">
      <w:start w:val="1"/>
      <w:numFmt w:val="decimal"/>
      <w:lvlText w:val="%1.%2.%3.%4.%5.%6.%7"/>
      <w:lvlJc w:val="left"/>
      <w:pPr>
        <w:ind w:left="24822" w:hanging="1440"/>
      </w:pPr>
      <w:rPr>
        <w:rFonts w:hint="default"/>
      </w:rPr>
    </w:lvl>
    <w:lvl w:ilvl="7">
      <w:start w:val="1"/>
      <w:numFmt w:val="decimal"/>
      <w:lvlText w:val="%1.%2.%3.%4.%5.%6.%7.%8"/>
      <w:lvlJc w:val="left"/>
      <w:pPr>
        <w:ind w:left="29079" w:hanging="1800"/>
      </w:pPr>
      <w:rPr>
        <w:rFonts w:hint="default"/>
      </w:rPr>
    </w:lvl>
    <w:lvl w:ilvl="8">
      <w:start w:val="1"/>
      <w:numFmt w:val="decimal"/>
      <w:lvlText w:val="%1.%2.%3.%4.%5.%6.%7.%8.%9"/>
      <w:lvlJc w:val="left"/>
      <w:pPr>
        <w:ind w:left="-32200" w:hanging="2160"/>
      </w:pPr>
      <w:rPr>
        <w:rFonts w:hint="default"/>
      </w:rPr>
    </w:lvl>
  </w:abstractNum>
  <w:abstractNum w:abstractNumId="3" w15:restartNumberingAfterBreak="0">
    <w:nsid w:val="42C251BE"/>
    <w:multiLevelType w:val="multilevel"/>
    <w:tmpl w:val="2B2A740A"/>
    <w:lvl w:ilvl="0">
      <w:start w:val="6"/>
      <w:numFmt w:val="decimal"/>
      <w:lvlText w:val="%1"/>
      <w:lvlJc w:val="left"/>
      <w:pPr>
        <w:ind w:left="3372" w:hanging="495"/>
      </w:pPr>
      <w:rPr>
        <w:rFonts w:hint="default"/>
        <w:lang w:val="ru-RU" w:eastAsia="ru-RU" w:bidi="ru-RU"/>
      </w:rPr>
    </w:lvl>
    <w:lvl w:ilvl="1">
      <w:start w:val="1"/>
      <w:numFmt w:val="decimal"/>
      <w:lvlText w:val="%1.%2."/>
      <w:lvlJc w:val="left"/>
      <w:pPr>
        <w:ind w:left="3372" w:hanging="495"/>
        <w:jc w:val="right"/>
      </w:pPr>
      <w:rPr>
        <w:rFonts w:ascii="Times New Roman" w:eastAsia="Times New Roman" w:hAnsi="Times New Roman" w:cs="Times New Roman" w:hint="default"/>
        <w:b/>
        <w:bCs/>
        <w:w w:val="99"/>
        <w:sz w:val="28"/>
        <w:szCs w:val="28"/>
        <w:lang w:val="ru-RU" w:eastAsia="ru-RU" w:bidi="ru-RU"/>
      </w:rPr>
    </w:lvl>
    <w:lvl w:ilvl="2">
      <w:numFmt w:val="bullet"/>
      <w:lvlText w:val="•"/>
      <w:lvlJc w:val="left"/>
      <w:pPr>
        <w:ind w:left="4732" w:hanging="495"/>
      </w:pPr>
      <w:rPr>
        <w:rFonts w:hint="default"/>
        <w:lang w:val="ru-RU" w:eastAsia="ru-RU" w:bidi="ru-RU"/>
      </w:rPr>
    </w:lvl>
    <w:lvl w:ilvl="3">
      <w:numFmt w:val="bullet"/>
      <w:lvlText w:val="•"/>
      <w:lvlJc w:val="left"/>
      <w:pPr>
        <w:ind w:left="5409" w:hanging="495"/>
      </w:pPr>
      <w:rPr>
        <w:rFonts w:hint="default"/>
        <w:lang w:val="ru-RU" w:eastAsia="ru-RU" w:bidi="ru-RU"/>
      </w:rPr>
    </w:lvl>
    <w:lvl w:ilvl="4">
      <w:numFmt w:val="bullet"/>
      <w:lvlText w:val="•"/>
      <w:lvlJc w:val="left"/>
      <w:pPr>
        <w:ind w:left="6085" w:hanging="495"/>
      </w:pPr>
      <w:rPr>
        <w:rFonts w:hint="default"/>
        <w:lang w:val="ru-RU" w:eastAsia="ru-RU" w:bidi="ru-RU"/>
      </w:rPr>
    </w:lvl>
    <w:lvl w:ilvl="5">
      <w:numFmt w:val="bullet"/>
      <w:lvlText w:val="•"/>
      <w:lvlJc w:val="left"/>
      <w:pPr>
        <w:ind w:left="6762" w:hanging="495"/>
      </w:pPr>
      <w:rPr>
        <w:rFonts w:hint="default"/>
        <w:lang w:val="ru-RU" w:eastAsia="ru-RU" w:bidi="ru-RU"/>
      </w:rPr>
    </w:lvl>
    <w:lvl w:ilvl="6">
      <w:numFmt w:val="bullet"/>
      <w:lvlText w:val="•"/>
      <w:lvlJc w:val="left"/>
      <w:pPr>
        <w:ind w:left="7438" w:hanging="495"/>
      </w:pPr>
      <w:rPr>
        <w:rFonts w:hint="default"/>
        <w:lang w:val="ru-RU" w:eastAsia="ru-RU" w:bidi="ru-RU"/>
      </w:rPr>
    </w:lvl>
    <w:lvl w:ilvl="7">
      <w:numFmt w:val="bullet"/>
      <w:lvlText w:val="•"/>
      <w:lvlJc w:val="left"/>
      <w:pPr>
        <w:ind w:left="8114" w:hanging="495"/>
      </w:pPr>
      <w:rPr>
        <w:rFonts w:hint="default"/>
        <w:lang w:val="ru-RU" w:eastAsia="ru-RU" w:bidi="ru-RU"/>
      </w:rPr>
    </w:lvl>
    <w:lvl w:ilvl="8">
      <w:numFmt w:val="bullet"/>
      <w:lvlText w:val="•"/>
      <w:lvlJc w:val="left"/>
      <w:pPr>
        <w:ind w:left="8791" w:hanging="495"/>
      </w:pPr>
      <w:rPr>
        <w:rFonts w:hint="default"/>
        <w:lang w:val="ru-RU" w:eastAsia="ru-RU" w:bidi="ru-RU"/>
      </w:rPr>
    </w:lvl>
  </w:abstractNum>
  <w:abstractNum w:abstractNumId="4" w15:restartNumberingAfterBreak="0">
    <w:nsid w:val="4CD122AF"/>
    <w:multiLevelType w:val="hybridMultilevel"/>
    <w:tmpl w:val="BD8E76F2"/>
    <w:lvl w:ilvl="0" w:tplc="A1E671B0">
      <w:start w:val="1"/>
      <w:numFmt w:val="decimal"/>
      <w:lvlText w:val="%1."/>
      <w:lvlJc w:val="left"/>
      <w:pPr>
        <w:ind w:left="399" w:hanging="322"/>
      </w:pPr>
      <w:rPr>
        <w:rFonts w:ascii="Times New Roman" w:eastAsia="Times New Roman" w:hAnsi="Times New Roman" w:cs="Times New Roman" w:hint="default"/>
        <w:w w:val="99"/>
        <w:sz w:val="28"/>
        <w:szCs w:val="28"/>
        <w:lang w:val="ru-RU" w:eastAsia="ru-RU" w:bidi="ru-RU"/>
      </w:rPr>
    </w:lvl>
    <w:lvl w:ilvl="1" w:tplc="CB7CC9B4">
      <w:numFmt w:val="bullet"/>
      <w:lvlText w:val="•"/>
      <w:lvlJc w:val="left"/>
      <w:pPr>
        <w:ind w:left="1374" w:hanging="322"/>
      </w:pPr>
      <w:rPr>
        <w:rFonts w:hint="default"/>
        <w:lang w:val="ru-RU" w:eastAsia="ru-RU" w:bidi="ru-RU"/>
      </w:rPr>
    </w:lvl>
    <w:lvl w:ilvl="2" w:tplc="B75013AA">
      <w:numFmt w:val="bullet"/>
      <w:lvlText w:val="•"/>
      <w:lvlJc w:val="left"/>
      <w:pPr>
        <w:ind w:left="2348" w:hanging="322"/>
      </w:pPr>
      <w:rPr>
        <w:rFonts w:hint="default"/>
        <w:lang w:val="ru-RU" w:eastAsia="ru-RU" w:bidi="ru-RU"/>
      </w:rPr>
    </w:lvl>
    <w:lvl w:ilvl="3" w:tplc="ACF25E56">
      <w:numFmt w:val="bullet"/>
      <w:lvlText w:val="•"/>
      <w:lvlJc w:val="left"/>
      <w:pPr>
        <w:ind w:left="3323" w:hanging="322"/>
      </w:pPr>
      <w:rPr>
        <w:rFonts w:hint="default"/>
        <w:lang w:val="ru-RU" w:eastAsia="ru-RU" w:bidi="ru-RU"/>
      </w:rPr>
    </w:lvl>
    <w:lvl w:ilvl="4" w:tplc="5C4AFBD0">
      <w:numFmt w:val="bullet"/>
      <w:lvlText w:val="•"/>
      <w:lvlJc w:val="left"/>
      <w:pPr>
        <w:ind w:left="4297" w:hanging="322"/>
      </w:pPr>
      <w:rPr>
        <w:rFonts w:hint="default"/>
        <w:lang w:val="ru-RU" w:eastAsia="ru-RU" w:bidi="ru-RU"/>
      </w:rPr>
    </w:lvl>
    <w:lvl w:ilvl="5" w:tplc="075489D2">
      <w:numFmt w:val="bullet"/>
      <w:lvlText w:val="•"/>
      <w:lvlJc w:val="left"/>
      <w:pPr>
        <w:ind w:left="5272" w:hanging="322"/>
      </w:pPr>
      <w:rPr>
        <w:rFonts w:hint="default"/>
        <w:lang w:val="ru-RU" w:eastAsia="ru-RU" w:bidi="ru-RU"/>
      </w:rPr>
    </w:lvl>
    <w:lvl w:ilvl="6" w:tplc="DA40767E">
      <w:numFmt w:val="bullet"/>
      <w:lvlText w:val="•"/>
      <w:lvlJc w:val="left"/>
      <w:pPr>
        <w:ind w:left="6246" w:hanging="322"/>
      </w:pPr>
      <w:rPr>
        <w:rFonts w:hint="default"/>
        <w:lang w:val="ru-RU" w:eastAsia="ru-RU" w:bidi="ru-RU"/>
      </w:rPr>
    </w:lvl>
    <w:lvl w:ilvl="7" w:tplc="242AB386">
      <w:numFmt w:val="bullet"/>
      <w:lvlText w:val="•"/>
      <w:lvlJc w:val="left"/>
      <w:pPr>
        <w:ind w:left="7220" w:hanging="322"/>
      </w:pPr>
      <w:rPr>
        <w:rFonts w:hint="default"/>
        <w:lang w:val="ru-RU" w:eastAsia="ru-RU" w:bidi="ru-RU"/>
      </w:rPr>
    </w:lvl>
    <w:lvl w:ilvl="8" w:tplc="AAEC9C00">
      <w:numFmt w:val="bullet"/>
      <w:lvlText w:val="•"/>
      <w:lvlJc w:val="left"/>
      <w:pPr>
        <w:ind w:left="8195" w:hanging="322"/>
      </w:pPr>
      <w:rPr>
        <w:rFonts w:hint="default"/>
        <w:lang w:val="ru-RU" w:eastAsia="ru-RU" w:bidi="ru-RU"/>
      </w:rPr>
    </w:lvl>
  </w:abstractNum>
  <w:abstractNum w:abstractNumId="5" w15:restartNumberingAfterBreak="0">
    <w:nsid w:val="52CD43AF"/>
    <w:multiLevelType w:val="hybridMultilevel"/>
    <w:tmpl w:val="AD18E5D6"/>
    <w:lvl w:ilvl="0" w:tplc="EA789220">
      <w:numFmt w:val="bullet"/>
      <w:lvlText w:val="—"/>
      <w:lvlJc w:val="left"/>
      <w:pPr>
        <w:ind w:left="399" w:hanging="409"/>
      </w:pPr>
      <w:rPr>
        <w:rFonts w:ascii="Times New Roman" w:eastAsia="Times New Roman" w:hAnsi="Times New Roman" w:cs="Times New Roman" w:hint="default"/>
        <w:w w:val="99"/>
        <w:sz w:val="28"/>
        <w:szCs w:val="28"/>
        <w:lang w:val="ru-RU" w:eastAsia="ru-RU" w:bidi="ru-RU"/>
      </w:rPr>
    </w:lvl>
    <w:lvl w:ilvl="1" w:tplc="4DEE1484">
      <w:numFmt w:val="bullet"/>
      <w:lvlText w:val="-"/>
      <w:lvlJc w:val="left"/>
      <w:pPr>
        <w:ind w:left="399" w:hanging="312"/>
      </w:pPr>
      <w:rPr>
        <w:rFonts w:ascii="Times New Roman" w:eastAsia="Times New Roman" w:hAnsi="Times New Roman" w:cs="Times New Roman" w:hint="default"/>
        <w:w w:val="99"/>
        <w:sz w:val="28"/>
        <w:szCs w:val="28"/>
        <w:lang w:val="ru-RU" w:eastAsia="ru-RU" w:bidi="ru-RU"/>
      </w:rPr>
    </w:lvl>
    <w:lvl w:ilvl="2" w:tplc="64C0B728">
      <w:numFmt w:val="bullet"/>
      <w:lvlText w:val="•"/>
      <w:lvlJc w:val="left"/>
      <w:pPr>
        <w:ind w:left="2348" w:hanging="312"/>
      </w:pPr>
      <w:rPr>
        <w:rFonts w:hint="default"/>
        <w:lang w:val="ru-RU" w:eastAsia="ru-RU" w:bidi="ru-RU"/>
      </w:rPr>
    </w:lvl>
    <w:lvl w:ilvl="3" w:tplc="076044CE">
      <w:numFmt w:val="bullet"/>
      <w:lvlText w:val="•"/>
      <w:lvlJc w:val="left"/>
      <w:pPr>
        <w:ind w:left="3323" w:hanging="312"/>
      </w:pPr>
      <w:rPr>
        <w:rFonts w:hint="default"/>
        <w:lang w:val="ru-RU" w:eastAsia="ru-RU" w:bidi="ru-RU"/>
      </w:rPr>
    </w:lvl>
    <w:lvl w:ilvl="4" w:tplc="136C807E">
      <w:numFmt w:val="bullet"/>
      <w:lvlText w:val="•"/>
      <w:lvlJc w:val="left"/>
      <w:pPr>
        <w:ind w:left="4297" w:hanging="312"/>
      </w:pPr>
      <w:rPr>
        <w:rFonts w:hint="default"/>
        <w:lang w:val="ru-RU" w:eastAsia="ru-RU" w:bidi="ru-RU"/>
      </w:rPr>
    </w:lvl>
    <w:lvl w:ilvl="5" w:tplc="FB9C4BFC">
      <w:numFmt w:val="bullet"/>
      <w:lvlText w:val="•"/>
      <w:lvlJc w:val="left"/>
      <w:pPr>
        <w:ind w:left="5272" w:hanging="312"/>
      </w:pPr>
      <w:rPr>
        <w:rFonts w:hint="default"/>
        <w:lang w:val="ru-RU" w:eastAsia="ru-RU" w:bidi="ru-RU"/>
      </w:rPr>
    </w:lvl>
    <w:lvl w:ilvl="6" w:tplc="750E307E">
      <w:numFmt w:val="bullet"/>
      <w:lvlText w:val="•"/>
      <w:lvlJc w:val="left"/>
      <w:pPr>
        <w:ind w:left="6246" w:hanging="312"/>
      </w:pPr>
      <w:rPr>
        <w:rFonts w:hint="default"/>
        <w:lang w:val="ru-RU" w:eastAsia="ru-RU" w:bidi="ru-RU"/>
      </w:rPr>
    </w:lvl>
    <w:lvl w:ilvl="7" w:tplc="D878FC96">
      <w:numFmt w:val="bullet"/>
      <w:lvlText w:val="•"/>
      <w:lvlJc w:val="left"/>
      <w:pPr>
        <w:ind w:left="7220" w:hanging="312"/>
      </w:pPr>
      <w:rPr>
        <w:rFonts w:hint="default"/>
        <w:lang w:val="ru-RU" w:eastAsia="ru-RU" w:bidi="ru-RU"/>
      </w:rPr>
    </w:lvl>
    <w:lvl w:ilvl="8" w:tplc="9350F844">
      <w:numFmt w:val="bullet"/>
      <w:lvlText w:val="•"/>
      <w:lvlJc w:val="left"/>
      <w:pPr>
        <w:ind w:left="8195" w:hanging="312"/>
      </w:pPr>
      <w:rPr>
        <w:rFonts w:hint="default"/>
        <w:lang w:val="ru-RU" w:eastAsia="ru-RU" w:bidi="ru-RU"/>
      </w:rPr>
    </w:lvl>
  </w:abstractNum>
  <w:abstractNum w:abstractNumId="6" w15:restartNumberingAfterBreak="0">
    <w:nsid w:val="55ED2A05"/>
    <w:multiLevelType w:val="hybridMultilevel"/>
    <w:tmpl w:val="7922A2CC"/>
    <w:lvl w:ilvl="0" w:tplc="D362E982">
      <w:start w:val="1"/>
      <w:numFmt w:val="decimal"/>
      <w:lvlText w:val="%1."/>
      <w:lvlJc w:val="left"/>
      <w:pPr>
        <w:ind w:left="399" w:hanging="283"/>
      </w:pPr>
      <w:rPr>
        <w:rFonts w:ascii="Times New Roman" w:eastAsia="Times New Roman" w:hAnsi="Times New Roman" w:cs="Times New Roman" w:hint="default"/>
        <w:w w:val="99"/>
        <w:sz w:val="28"/>
        <w:szCs w:val="28"/>
        <w:lang w:val="ru-RU" w:eastAsia="ru-RU" w:bidi="ru-RU"/>
      </w:rPr>
    </w:lvl>
    <w:lvl w:ilvl="1" w:tplc="C84A6448">
      <w:numFmt w:val="bullet"/>
      <w:lvlText w:val="•"/>
      <w:lvlJc w:val="left"/>
      <w:pPr>
        <w:ind w:left="1374" w:hanging="283"/>
      </w:pPr>
      <w:rPr>
        <w:rFonts w:hint="default"/>
        <w:lang w:val="ru-RU" w:eastAsia="ru-RU" w:bidi="ru-RU"/>
      </w:rPr>
    </w:lvl>
    <w:lvl w:ilvl="2" w:tplc="ABCAEFFA">
      <w:numFmt w:val="bullet"/>
      <w:lvlText w:val="•"/>
      <w:lvlJc w:val="left"/>
      <w:pPr>
        <w:ind w:left="2348" w:hanging="283"/>
      </w:pPr>
      <w:rPr>
        <w:rFonts w:hint="default"/>
        <w:lang w:val="ru-RU" w:eastAsia="ru-RU" w:bidi="ru-RU"/>
      </w:rPr>
    </w:lvl>
    <w:lvl w:ilvl="3" w:tplc="E0D03DAC">
      <w:numFmt w:val="bullet"/>
      <w:lvlText w:val="•"/>
      <w:lvlJc w:val="left"/>
      <w:pPr>
        <w:ind w:left="3323" w:hanging="283"/>
      </w:pPr>
      <w:rPr>
        <w:rFonts w:hint="default"/>
        <w:lang w:val="ru-RU" w:eastAsia="ru-RU" w:bidi="ru-RU"/>
      </w:rPr>
    </w:lvl>
    <w:lvl w:ilvl="4" w:tplc="449A331E">
      <w:numFmt w:val="bullet"/>
      <w:lvlText w:val="•"/>
      <w:lvlJc w:val="left"/>
      <w:pPr>
        <w:ind w:left="4297" w:hanging="283"/>
      </w:pPr>
      <w:rPr>
        <w:rFonts w:hint="default"/>
        <w:lang w:val="ru-RU" w:eastAsia="ru-RU" w:bidi="ru-RU"/>
      </w:rPr>
    </w:lvl>
    <w:lvl w:ilvl="5" w:tplc="4CB08C46">
      <w:numFmt w:val="bullet"/>
      <w:lvlText w:val="•"/>
      <w:lvlJc w:val="left"/>
      <w:pPr>
        <w:ind w:left="5272" w:hanging="283"/>
      </w:pPr>
      <w:rPr>
        <w:rFonts w:hint="default"/>
        <w:lang w:val="ru-RU" w:eastAsia="ru-RU" w:bidi="ru-RU"/>
      </w:rPr>
    </w:lvl>
    <w:lvl w:ilvl="6" w:tplc="BE160A18">
      <w:numFmt w:val="bullet"/>
      <w:lvlText w:val="•"/>
      <w:lvlJc w:val="left"/>
      <w:pPr>
        <w:ind w:left="6246" w:hanging="283"/>
      </w:pPr>
      <w:rPr>
        <w:rFonts w:hint="default"/>
        <w:lang w:val="ru-RU" w:eastAsia="ru-RU" w:bidi="ru-RU"/>
      </w:rPr>
    </w:lvl>
    <w:lvl w:ilvl="7" w:tplc="BC2C8BAC">
      <w:numFmt w:val="bullet"/>
      <w:lvlText w:val="•"/>
      <w:lvlJc w:val="left"/>
      <w:pPr>
        <w:ind w:left="7220" w:hanging="283"/>
      </w:pPr>
      <w:rPr>
        <w:rFonts w:hint="default"/>
        <w:lang w:val="ru-RU" w:eastAsia="ru-RU" w:bidi="ru-RU"/>
      </w:rPr>
    </w:lvl>
    <w:lvl w:ilvl="8" w:tplc="CEA655C4">
      <w:numFmt w:val="bullet"/>
      <w:lvlText w:val="•"/>
      <w:lvlJc w:val="left"/>
      <w:pPr>
        <w:ind w:left="8195" w:hanging="283"/>
      </w:pPr>
      <w:rPr>
        <w:rFonts w:hint="default"/>
        <w:lang w:val="ru-RU" w:eastAsia="ru-RU" w:bidi="ru-RU"/>
      </w:rPr>
    </w:lvl>
  </w:abstractNum>
  <w:abstractNum w:abstractNumId="7" w15:restartNumberingAfterBreak="0">
    <w:nsid w:val="7ACE0B2A"/>
    <w:multiLevelType w:val="multilevel"/>
    <w:tmpl w:val="F14ECC38"/>
    <w:lvl w:ilvl="0">
      <w:start w:val="13"/>
      <w:numFmt w:val="decimal"/>
      <w:lvlText w:val="%1"/>
      <w:lvlJc w:val="left"/>
      <w:pPr>
        <w:ind w:left="525" w:hanging="525"/>
      </w:pPr>
      <w:rPr>
        <w:rFonts w:hint="default"/>
      </w:rPr>
    </w:lvl>
    <w:lvl w:ilvl="1">
      <w:start w:val="1"/>
      <w:numFmt w:val="decimal"/>
      <w:lvlText w:val="%1.%2"/>
      <w:lvlJc w:val="left"/>
      <w:pPr>
        <w:ind w:left="4422" w:hanging="525"/>
      </w:pPr>
      <w:rPr>
        <w:rFonts w:hint="default"/>
      </w:rPr>
    </w:lvl>
    <w:lvl w:ilvl="2">
      <w:start w:val="1"/>
      <w:numFmt w:val="decimal"/>
      <w:lvlText w:val="%1.%2.%3"/>
      <w:lvlJc w:val="left"/>
      <w:pPr>
        <w:ind w:left="8514" w:hanging="720"/>
      </w:pPr>
      <w:rPr>
        <w:rFonts w:hint="default"/>
      </w:rPr>
    </w:lvl>
    <w:lvl w:ilvl="3">
      <w:start w:val="1"/>
      <w:numFmt w:val="decimal"/>
      <w:lvlText w:val="%1.%2.%3.%4"/>
      <w:lvlJc w:val="left"/>
      <w:pPr>
        <w:ind w:left="12771" w:hanging="1080"/>
      </w:pPr>
      <w:rPr>
        <w:rFonts w:hint="default"/>
      </w:rPr>
    </w:lvl>
    <w:lvl w:ilvl="4">
      <w:start w:val="1"/>
      <w:numFmt w:val="decimal"/>
      <w:lvlText w:val="%1.%2.%3.%4.%5"/>
      <w:lvlJc w:val="left"/>
      <w:pPr>
        <w:ind w:left="16668" w:hanging="1080"/>
      </w:pPr>
      <w:rPr>
        <w:rFonts w:hint="default"/>
      </w:rPr>
    </w:lvl>
    <w:lvl w:ilvl="5">
      <w:start w:val="1"/>
      <w:numFmt w:val="decimal"/>
      <w:lvlText w:val="%1.%2.%3.%4.%5.%6"/>
      <w:lvlJc w:val="left"/>
      <w:pPr>
        <w:ind w:left="20925" w:hanging="1440"/>
      </w:pPr>
      <w:rPr>
        <w:rFonts w:hint="default"/>
      </w:rPr>
    </w:lvl>
    <w:lvl w:ilvl="6">
      <w:start w:val="1"/>
      <w:numFmt w:val="decimal"/>
      <w:lvlText w:val="%1.%2.%3.%4.%5.%6.%7"/>
      <w:lvlJc w:val="left"/>
      <w:pPr>
        <w:ind w:left="24822" w:hanging="1440"/>
      </w:pPr>
      <w:rPr>
        <w:rFonts w:hint="default"/>
      </w:rPr>
    </w:lvl>
    <w:lvl w:ilvl="7">
      <w:start w:val="1"/>
      <w:numFmt w:val="decimal"/>
      <w:lvlText w:val="%1.%2.%3.%4.%5.%6.%7.%8"/>
      <w:lvlJc w:val="left"/>
      <w:pPr>
        <w:ind w:left="29079" w:hanging="1800"/>
      </w:pPr>
      <w:rPr>
        <w:rFonts w:hint="default"/>
      </w:rPr>
    </w:lvl>
    <w:lvl w:ilvl="8">
      <w:start w:val="1"/>
      <w:numFmt w:val="decimal"/>
      <w:lvlText w:val="%1.%2.%3.%4.%5.%6.%7.%8.%9"/>
      <w:lvlJc w:val="left"/>
      <w:pPr>
        <w:ind w:left="-32200" w:hanging="2160"/>
      </w:pPr>
      <w:rPr>
        <w:rFonts w:hint="default"/>
      </w:rPr>
    </w:lvl>
  </w:abstractNum>
  <w:num w:numId="1">
    <w:abstractNumId w:val="6"/>
  </w:num>
  <w:num w:numId="2">
    <w:abstractNumId w:val="4"/>
  </w:num>
  <w:num w:numId="3">
    <w:abstractNumId w:val="1"/>
  </w:num>
  <w:num w:numId="4">
    <w:abstractNumId w:val="3"/>
  </w:num>
  <w:num w:numId="5">
    <w:abstractNumId w:val="5"/>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E44"/>
    <w:rsid w:val="00025DAC"/>
    <w:rsid w:val="00036E44"/>
    <w:rsid w:val="001A484F"/>
    <w:rsid w:val="00611D1A"/>
    <w:rsid w:val="006B7C92"/>
    <w:rsid w:val="008E4F45"/>
    <w:rsid w:val="00EF7B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2F906"/>
  <w15:chartTrackingRefBased/>
  <w15:docId w15:val="{A976B567-B93A-4EA1-844A-7D963647F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E4F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7911</Words>
  <Characters>45095</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2020-04-01T07:26:00Z</dcterms:created>
  <dcterms:modified xsi:type="dcterms:W3CDTF">2020-04-01T09:18:00Z</dcterms:modified>
</cp:coreProperties>
</file>