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43AABE"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5 тақырып ұйымдарда білімді тиімді қалыптастыру және пайдалану стратегиясы</w:t>
      </w:r>
    </w:p>
    <w:p w14:paraId="3FFA25B9"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1. Ұйымдарда білімді пайдалану стратегияларының сипаттамасы</w:t>
      </w:r>
    </w:p>
    <w:p w14:paraId="7A85F6DB"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2.ФИЗ стратегиясын әзірлеу кезеңдері.</w:t>
      </w:r>
    </w:p>
    <w:p w14:paraId="005C28CC"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3. ФИЗ стратегиясының пайдасы.</w:t>
      </w:r>
    </w:p>
    <w:p w14:paraId="6A95C9B0"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4. Стратегиялардың сәтсіздігінің себептері</w:t>
      </w:r>
    </w:p>
    <w:p w14:paraId="0F674BE5"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08D741B9"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ВОПР 1 ҰЙЫМДАРДА БІЛІМДІ ПАЙДАЛАНУ СТРАТЕГИЯЛАРЫНЫҢ СИПАТТАМАСЫ</w:t>
      </w:r>
    </w:p>
    <w:p w14:paraId="45010C28"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543C2BFA"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Қазіргі заманғы компаниялардың материалдық емес активтері олардың жиынтық активтерінің негізгі бөлігін құрайды, сондықтан нақ осы активтерді басқару дамудың жетекші факторына айналады.</w:t>
      </w:r>
    </w:p>
    <w:p w14:paraId="237000AC"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Зияткерлік капиталды қалыптастыруға және оны ұйымның тиімділігі мен бәсекеге қабілеттілігін арттыру мақсатында пайдалануға мүмкіндік беретін білімді басқарудың кейбір стратегияларын қарастырайық.</w:t>
      </w:r>
    </w:p>
    <w:p w14:paraId="1AD67AB6"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Білімді басқару стратегиясы ұйымдарда білімді тиімді қалыптастыру және пайдалану арқылы өнімдерде, адамдар мен процестерде іске асырылған жаңа құнды жасауға бағытталған.</w:t>
      </w:r>
    </w:p>
    <w:p w14:paraId="312E62BF"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Білімді басқару стратегияларының негізгі мақсаты-ұйымның қолда бар барлық ресурстарын пайдалану тиімділігін арттыру, үздік және тез инновацияларды алу, клиенттерге қызмет көрсетуді жақсарту, пайдаланылмайтын зияткерлік активтерден шығындарды азайту.</w:t>
      </w:r>
    </w:p>
    <w:p w14:paraId="5B8F0FED"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Ұйымдарда білімді қалыптастыру мен пайдаланудың барлық мүмкін болатын стратегиялары базалық стратегиялардан жеті комбинация түрінде ұсынылуы мүмкін (3 сурет).</w:t>
      </w:r>
    </w:p>
    <w:p w14:paraId="1A62EF6F"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Олардың үшеуі зияткерлік капитал түрлерінің бірі (жеке құзыреттілік, ішкі құрылым және сыртқы құрылым) шеңберінде білімді тиімді қалыптастыру және пайдалану болып табылады.</w:t>
      </w:r>
    </w:p>
    <w:p w14:paraId="60884439"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Тағы үш стратегия зияткерлік капиталдың екі түрлі түрі (жеке құзыреттілік пен ішкі құрылым, жеке құзыреттілік пен сыртқы құрылым, ішкі және сыртқы құрылым) арасындағы өзара әрекеттестіктен оң нәтижеге қол жеткізуді көздейді.</w:t>
      </w:r>
    </w:p>
    <w:p w14:paraId="66AE22CF"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Соңғы, жетінші стратегия зияткерлік капиталдың барлық үш элементтерінің бір мезгілде өзара іс-қимылын ескере отырып құрылады</w:t>
      </w:r>
    </w:p>
    <w:p w14:paraId="417A52D0"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Осылайша, базалық стратегиялар зияткерлік капиталдың бір түрі шеңберінде оны ұлғайту мақсатында білім алмасуға немесе білімді зияткерлік капиталдың бір түрінен екіншісіне тиімді тасымалдауға бағытталған.</w:t>
      </w:r>
    </w:p>
    <w:p w14:paraId="0CC7D9D2"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Негізгі стратегиялар өз негізінде білім қозғалысын қамтиды:</w:t>
      </w:r>
    </w:p>
    <w:p w14:paraId="69FC021C"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1. (Жеке құзыреті шеңберінде).</w:t>
      </w:r>
    </w:p>
    <w:p w14:paraId="03E9EE8D"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2. Ішкі құрылымның жекелеген элементтері арасында.</w:t>
      </w:r>
    </w:p>
    <w:p w14:paraId="40714CCC"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3. Сыртқы құрылымның жекелеген элементтері арасында.</w:t>
      </w:r>
    </w:p>
    <w:p w14:paraId="559C0314"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4. Сыртқы құрылым элементтері мен ұйым қызметкерлері арасында.</w:t>
      </w:r>
    </w:p>
    <w:p w14:paraId="5D2EEF5B"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5. Ішкі құрылым элементтері мен ұйым қызметкерлері арасында.</w:t>
      </w:r>
    </w:p>
    <w:p w14:paraId="6CA14EC5"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6. Ішкі және сыртқы құрылым элементтері арасында.</w:t>
      </w:r>
    </w:p>
    <w:p w14:paraId="0357DE2C"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7. Бір уақытта зияткерлік капиталдың барлық түрлері арасында.</w:t>
      </w:r>
    </w:p>
    <w:p w14:paraId="5CF2E22C"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Көрсетілген базалық стратегияларды толығырақ қарастырайық.</w:t>
      </w:r>
    </w:p>
    <w:p w14:paraId="6CDBA7EB"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Жеке құзыреттілік шеңберінде білімді қалыптастыру мен пайдалануға негізделген бірінші стратегия мынадай сұрақтарға жауап береді: "ұйым қызметкерлері арасында білім алмасу қалай жүргізіледі, олардың құзыреті қалай артады және ұйымның бәсекеге қабілеттілігін арттыру мақсатында ол қалай қолданылады?"</w:t>
      </w:r>
    </w:p>
    <w:p w14:paraId="41C5DED4"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Бұл стратегия:</w:t>
      </w:r>
    </w:p>
    <w:p w14:paraId="5F02399D"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дамыту жеке құзыреттеріне арқылы оқыту,</w:t>
      </w:r>
    </w:p>
    <w:p w14:paraId="73692AA0"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тренинг өткізу,</w:t>
      </w:r>
    </w:p>
    <w:p w14:paraId="2495403A"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тиісті корпоративтік мәдениетті қалыптастыру.</w:t>
      </w:r>
    </w:p>
    <w:p w14:paraId="0CCDAD8A"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Бұл стратегия адами капиталға, мотивациялық жүйелерге, ұйымдарда оқытуға арналған жұмыстарда егжей-тегжейлі зерттелген, осы Стратегияның тек екі аспектісін ғана егжей-тегжейлі қарастырамыз, атап айтқанда: 1) персоналды оқыту және 2) қызметкерлер арасында білім алмасуға бағытталған ұйымдастыру мәдениетін қалыптастыру.</w:t>
      </w:r>
    </w:p>
    <w:p w14:paraId="49875103"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1) қызметкерлерді қазіргі жағдайда оқыту жалпы менеджменттің және атап айтқанда білім менеджментінің маңызды функциясы болып табылады. Әлемнің барлық жетекші компаниялары персоналды дамытудың, оның оқуы мен біліктілігін арттырудың біртұтас жүйесін құрады. Оқыту, әрбір қызметкердің біліктілігін үздіксіз арттыру туралы қамқорлық – табысты жұмыс істейтін кез келген компанияның міндетті атрибуты. Персоналды оқыту:</w:t>
      </w:r>
    </w:p>
    <w:p w14:paraId="673BBDAC"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фирмада инновациялық климаттың қалыптасуының дербес факторына қатысты,</w:t>
      </w:r>
    </w:p>
    <w:p w14:paraId="79E86AAA"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үнемі өзгеріп тұратын жағдайларға тұрақты бейімделу үшін алғышарттар жасайды,</w:t>
      </w:r>
    </w:p>
    <w:p w14:paraId="6450ED46"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оның бәсекеге қабілеттілігін арттырады.</w:t>
      </w:r>
    </w:p>
    <w:p w14:paraId="0FAB7777"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Сыртқы ортаның зиянсыздығының шарттарына сәйкес келу үшін әрбір компания барлық қызметкерлерді барлық бөлімшелерден үздіксіз оқыту процесі жүргізілетін ұйымға айналуы тиіс. Мұндай ұйымды сипаттайды:</w:t>
      </w:r>
    </w:p>
    <w:p w14:paraId="4012CC53"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көпшілік бөле отырып, осы ұйымның болашақ болжауы;</w:t>
      </w:r>
    </w:p>
    <w:p w14:paraId="2C35598E"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бір қызметкерден екіншісіне білім беру және командамен оқу қабілеті;</w:t>
      </w:r>
    </w:p>
    <w:p w14:paraId="15B9686B"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lastRenderedPageBreak/>
        <w:t>* ментальды модельдерді бағалау және әсер ету қабілеті • реф.) өз қызметкерлерін;</w:t>
      </w:r>
    </w:p>
    <w:p w14:paraId="04E77D75"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шеберлікті жетілдіру ынталандыру;</w:t>
      </w:r>
    </w:p>
    <w:p w14:paraId="3FC4A7E7"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жүйелік ойлау (реф.), яғни оқиғалар мен заттарды оқиғаның тізбегі ретінде емес, элементтердің өзара іс-қимылының сипаты сызықсыз және циклденген күрделі құрылым ретінде көру қабілеті.</w:t>
      </w:r>
    </w:p>
    <w:p w14:paraId="766A1DCF"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Мұндай ұйым шеңберінде оқыту семинарлардың, тренингтердің дәстүрлі түрінде ғана емес, сонымен қатар адамдар өз білімдерімен бөліскен кезде, өзара іс-қимылды жақсарту үшін бір-біріне көмектеседі.</w:t>
      </w:r>
    </w:p>
    <w:p w14:paraId="600686AF"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Мысал:</w:t>
      </w:r>
    </w:p>
    <w:p w14:paraId="7569C468"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Евгения Дружбина, "Козырная Карта" мейрамханалар желісінің білімін басқару орталығының тренер-кеңесшісі»</w:t>
      </w:r>
    </w:p>
    <w:p w14:paraId="75A0CC01"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"Компания жинақтаған білімнің көлемі мен күрделілігінің ұлғаюына қарай оның осы білімді басқару қажеттілігі артады...".</w:t>
      </w:r>
    </w:p>
    <w:p w14:paraId="34BF36E1"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Білімді басқару орталығы оқу-кеңес беру орталығының негізінде құрылды - қызметкерлерді оқытумен компания 2001 жылы айналыса бастады. Сол кезде оқыту ауқымы басқа болды, себебі желі мейрамханаларының саны айтарлықтай аз болды. Евгенияның айтуынша, "Козырная Карта" компаниясының оқу орталығын дамыту және біртіндеп қайта құрылымдау жеткілікті түрде бірқалыпты, болжамды және қисынды түрде жүргізілді. "Мен осы тұрғыда біздің бөлімшеміздің эволюциясы туралы бір уақытта желіде оқыту жүйесін дамытумен бірге айтқым келеді".</w:t>
      </w:r>
    </w:p>
    <w:p w14:paraId="26A91A99"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2001 ж. - компанияда оқу бөлімін құру. Бөлімнің негізгі функциялары қызметкерлерді іріктеу, оқыту және дамыту, сондай-ақ консалтинг (мейрамханалардың, жалпы компанияның қызметін талдау, ұйымдастырушылық кеңес беру) болып табылады. Бөлімде жұмыс істейді екі қызметкері.</w:t>
      </w:r>
    </w:p>
    <w:p w14:paraId="406E36A6"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2002 ж. - Оқу-кеңес беру бөлімін қалыптастыру. Қызметкерлердің саны бес адамға дейін артады, себебі желінің дамуымен, мейрамханалардың көп санының пайда болуымен, жұмыс көлемі ұлғаяды, компанияның барлық бөлімшелерімен тығыз қарым-қатынас жасау қажеттілігі пайда болады.</w:t>
      </w:r>
    </w:p>
    <w:p w14:paraId="5F335AB1"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2006 ж.-Оқу-кеңес беру бөлімі штатында он бес қызметкер бар оқу-кеңес беру орталығына ауысады. Орталықтың құрылымы желі қызметкерлерін оқыту мен дамытудың төрт негізгі бағыттары бойынша бөлінеді: "Сервис", "Менеджмент", "Кухня", "Бар</w:t>
      </w:r>
      <w:proofErr w:type="gramStart"/>
      <w:r w:rsidRPr="00EB259B">
        <w:rPr>
          <w:rFonts w:ascii="Times New Roman" w:eastAsia="Times New Roman" w:hAnsi="Times New Roman" w:cs="Times New Roman"/>
          <w:sz w:val="20"/>
          <w:szCs w:val="20"/>
          <w:lang w:eastAsia="ru-RU"/>
        </w:rPr>
        <w:t>" .</w:t>
      </w:r>
      <w:proofErr w:type="gramEnd"/>
    </w:p>
    <w:p w14:paraId="502B10B7"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2008 ж. - білім басқармасы орталығына ӨКО қайта құрылымдау жүргізілуде. Орталықтың штаттық қызметкерлеріне сондай - ақ мейрамхана қызметінің барлық бағыттары бойынша тартылған кеңесшілер-желі мамандары қосылады. Орталықтың негізгі функцияларына (жинақтау, жүйелеу және компанияның тиісті қызметкерлеріне уақытылы білім беру, оқыту, дамыту, ұйымдастырушылық кеңес беру, корпоративтік құжаттаманы әзірлеу және енгізу, перспективалық даму) жобалық менеджмент қосылады.</w:t>
      </w:r>
    </w:p>
    <w:p w14:paraId="1F2D2336"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21AC8338"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Жетекші компанияларда персоналды оқытуға арналған шығындар бүгінде айтарлықтай соманы құрайды. Мәселен, АҚШ-тың жеке секторының қызметкерлердің біліктілігін арттыруға және оқытуға жұмсалатын шығындары шамамен 300 АҚШ долларына жетеді. бір қызметкерге. Сонымен қатар, жекелеген фирмалар осы мақсаттарға айтарлықтай көп қаражат жұмсайды.</w:t>
      </w:r>
    </w:p>
    <w:p w14:paraId="7232C273"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Ксерокс және ИБМ жыл сайын 2 мың АҚШ долларынан астам біліктілікті арттыруға жұмсайды. бұл ретте оқуға жұмсалатын шығындардың жалпы сомасы олардың 1,5% - дан астамын құрайды. ИБМ фирмасының сауда өкілін дайындауға арналған шығындар 200 мың АҚШ долларына жақындап келеді.</w:t>
      </w:r>
    </w:p>
    <w:p w14:paraId="205A9E14"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Бірқатар компанияларда ішкі норматив қолданылады: жалақы қорында оқуға арналған шығындар үлесі. Әр түрлі санаттағы қызметкерлердің пайдаланылады, сондай-ақ уақытша нормативтер (реф. - персоналды даярлауға арналған нормативтердің түрлері–. Мысалы, "Контрол дэйта" компаниясындағы орта буынның әрбір басшысы жыл сайын өзінің қайта даярлауына және біліктілігін арттыруға кемінде 40 оқу сағатын жұмсауы тиіс. Бұл ретте оқыту мазмұнына салалық ерекшелікке байланысты кәсіби білім ғана емес, өндірістік міндеттерді шешу әдістері, тиімді уәждеме, зияткерлік серпіліс және т.б. бойынша білім де кіреді.</w:t>
      </w:r>
    </w:p>
    <w:p w14:paraId="4F6F391C"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Озық компаниялар өз практикасына барлық еңбек қызметі барысында әрбір қызметкердің үздіксіз білім алуын енгізеді. Білім беру нысандары әртүрлі болуы мүмкін: оқу орталықтарына, зертханаларға, басқа да ұқсас кәсіпорындарға тағылымдамалар мен іссапарлар; фирма ішінде ұйымдастырылған курстар; оқу орталықтарындағы курстар. Оқыту тек қажетті білімді толықтыру құралы ретінде ғана емес, сонымен қатар жемісті байланыстарды орнату құралы ретінде де жиі қарастырылады. Дәл осы курстарда, іссапарларда және тағылымдамадан өту процесінде одан әрі қызметке қажетті байланыстар жиі байланысып тұрады.</w:t>
      </w:r>
    </w:p>
    <w:p w14:paraId="71298C43" w14:textId="7BE7F0D1" w:rsid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Көптеген ірі ресейлік коммерциялық ұйымдардың персоналды (Газпром, Лукойл, Сбербанк) даярлаумен және қайта даярлаумен айналысатын жеке бөлімшелері бар.</w:t>
      </w:r>
    </w:p>
    <w:p w14:paraId="19859EA5"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xml:space="preserve">2) қызметкерлер арасында білім алмасуға бағытталған ұйымдастырушылық мәдениетті қалыптастыру – бірінші стратегияның тағы бір маңызды құрамдас бөлігі. Тиісті мәдениетті қалыптастырған және айтарлықтай нәтижелерге қол жеткізген көптеген ұйымдар белгілі. Олардың бірі-Хьюлетт Паккард. Бұл фирма өзінің ынтымақтастық мәдениетімен, білім алмасумен, қауіп-қатерді көтермелеумен және басқарудың барлық деңгейлерінде дербес шешімдермен кеңінен танымал. Фирмада білімнің қарқынды алмасуын қамтамасыз ету үшін офистік үй-жайлардың жұмыс кеңістігі ерекше түрде құрылады. Олардың үлкен бірыңғай кеңістік шеңберінде жеке жұмыс орнын бөліп тұратын шағын қалқа ғана </w:t>
      </w:r>
      <w:proofErr w:type="gramStart"/>
      <w:r w:rsidRPr="00EB259B">
        <w:rPr>
          <w:rFonts w:ascii="Times New Roman" w:eastAsia="Times New Roman" w:hAnsi="Times New Roman" w:cs="Times New Roman"/>
          <w:sz w:val="20"/>
          <w:szCs w:val="20"/>
          <w:lang w:eastAsia="ru-RU"/>
        </w:rPr>
        <w:t>бар,бұл</w:t>
      </w:r>
      <w:proofErr w:type="gramEnd"/>
      <w:r w:rsidRPr="00EB259B">
        <w:rPr>
          <w:rFonts w:ascii="Times New Roman" w:eastAsia="Times New Roman" w:hAnsi="Times New Roman" w:cs="Times New Roman"/>
          <w:sz w:val="20"/>
          <w:szCs w:val="20"/>
          <w:lang w:eastAsia="ru-RU"/>
        </w:rPr>
        <w:t xml:space="preserve"> қызметкерлердің қарқынды қарым-қатынасына және, сайып келгенде, қарқынды және нәтижелі білім алмасуға мүмкіндік береді.</w:t>
      </w:r>
    </w:p>
    <w:p w14:paraId="3623DDC2"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lastRenderedPageBreak/>
        <w:t>Отикон Дат фирмасында әр түрлі бөлім қызметкерлерінің өзара іс - қимылы, жұмыс байланыстарын орнату-бастаманы көтермелеу үшін ынталандырылады, ол жұмыс топтарының мүшелері арасында қарқынды ақпарат алмасумен, сондай-ақ фирманың контрагенттерімен сыртқы байланыстармен нығайтылады. Отикон мәдениетін қалыптастырудағы ерекше назар ашықтыққа, икемділікке, желілік жұмысқа, оқытуға, тренингтерге аударылады.</w:t>
      </w:r>
    </w:p>
    <w:p w14:paraId="18FF2FB3"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Тиісті ұйымдастыру мәдениетін қалыптастырудың маңызды факторы қызметкерлер арасында білім алмасудың еркін уәждемесі болып табылады. Бірқатар ұйымдарда ынталандыру жүйесі осы ұйымдардың ішінде білім алуға бағытталған. Осылайша, Бакмэн Лэкс-те білім алмасуда үздік көрсеткіштерге қол жеткізген қызметкерлер қаржылық сыйақы алады немесе қызмет бойынша алға жылжиды. Алайда, ішкі еркін коммуникациялар проблемасын тек қана ынталандыру арқылы шешуге болмайды. "Білім билік бар, және олармен бөлісуге болмайды "ішкі нұсқасынан жаңа, күшті орнату қажет:" еркін білім алмасу ұйым мен жеке тұлғаның табыс көзі болып табылады". Бір қондырғыдан басқа күрделі процеске көшу, бірақ білімді басқару стратегияларының тиімділігі осы үдерістің жетістігіне байланысты.</w:t>
      </w:r>
    </w:p>
    <w:p w14:paraId="10D59FCD"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Бұл мотивациялық элементтерге, оқыту жүйелеріне, өлшемдерге және ұйым қызметінің көрсеткіштеріне қатысты ірі ауқымды өзгеріс. Ол сондай-ақ жалпы ұйымның дербес білімі мен білімін тиімді пайдалануға бағытталған жаңа қатынастарды қалыптастыруға қатысты.</w:t>
      </w:r>
    </w:p>
    <w:p w14:paraId="6E6030AB"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Осыған байланысты білімді басқарудың маңызды элементі – бұл қызметкерлер арасындағы сенім. Сенім тәртібіндегі Диалог оның жоқтығына қарағанда аса құнды. Сенімді арттыруға инвестициялау (РЕФ.) қазіргі заманғы ұйымдарда жабдықтарға инвестициядан гөрі үлкен маңызға ие.</w:t>
      </w:r>
    </w:p>
    <w:p w14:paraId="7B380EF9"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Ішкі құрылым шеңберінде білімді қалыптастыру мен пайдалануға негізделген екінші стратегия мынадай сұраққа жауап береді: "ұйымның ішкі құрылымының жекелеген элементтері арасында оның бәсекеге қабілеттілігін арттыру мақсатында білім алмасу қалай қолданылады?"</w:t>
      </w:r>
    </w:p>
    <w:p w14:paraId="30A3543A"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Ішкі құрылым элементтеріне: Ақпараттық жүйелер, деректер базасы, ұйымдастыру құрылымдары, авторлық құқықтар, патенттер, ноу-хау, лицензиялар және т. б. жатады.</w:t>
      </w:r>
    </w:p>
    <w:p w14:paraId="04E312F6"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Ақпараттық жүйелер мен Деректер базалары заманауи ұйымдарда компьютерлер мен бағдарламалық қамтамасыз етудің бұрын-соңды болмаған тез және табысты дамуы арқасында елеулі орынға ие болды. Жаңа техникалық құралдар білім мен зияткерлік капиталдың маңыздылығының өсуіне жаңа серпін береді. Бағдарламалық қамтамасыз ету инновациялық процестің негізгі элементі және экономикалық дамудың салыстырмалы дербес факторы болды. Дамыған елдер ақпараттық технологияларға, оның ішінде бағдарламалық қамтамасыз етуге айтарлықтай қаражат жұмсайды. Мәселен, 1990 жылдардың соңында АҚШ-та жыл сайын осы мақсаттарға 140 млрд. бұл ресейлік федералдық бюджеттен 6 есе артық.</w:t>
      </w:r>
    </w:p>
    <w:p w14:paraId="165B0B56"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xml:space="preserve">Ақпараттық технологиялар инновациялық үдерістің уақытын </w:t>
      </w:r>
      <w:proofErr w:type="gramStart"/>
      <w:r w:rsidRPr="00EB259B">
        <w:rPr>
          <w:rFonts w:ascii="Times New Roman" w:eastAsia="Times New Roman" w:hAnsi="Times New Roman" w:cs="Times New Roman"/>
          <w:sz w:val="20"/>
          <w:szCs w:val="20"/>
          <w:lang w:eastAsia="ru-RU"/>
        </w:rPr>
        <w:t>қысқартады,олар</w:t>
      </w:r>
      <w:proofErr w:type="gramEnd"/>
      <w:r w:rsidRPr="00EB259B">
        <w:rPr>
          <w:rFonts w:ascii="Times New Roman" w:eastAsia="Times New Roman" w:hAnsi="Times New Roman" w:cs="Times New Roman"/>
          <w:sz w:val="20"/>
          <w:szCs w:val="20"/>
          <w:lang w:eastAsia="ru-RU"/>
        </w:rPr>
        <w:t xml:space="preserve"> білім көздері мен тұтынушылардың арасындағы өзіндік біріктіруші буын болып табылады. Қазіргі заманғы бағдарламалық қамтамасыз ету өзін-өзі оқыту жүйесі түрінде инновациялық үдерістің жаңа парадигмасын тудырады.</w:t>
      </w:r>
    </w:p>
    <w:p w14:paraId="0C0E7EFC" w14:textId="3A66791A" w:rsid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xml:space="preserve">Мысалы, Aanet Интранет жүйесі негізінде Arthur Andersen консалтингтік фирмасында салынған болуы мүмкін (реф.) (Интранет-жүйе Сіздің компанияңыздың клиенттерінің дербес деректер базасын, персоналдың жұмысын, "Тапсырыс беруші компания"қатынастарын бақылау мүмкіндігін қамтитын кәсіпорынды басқарудың ішкі жүйесін </w:t>
      </w:r>
      <w:proofErr w:type="gramStart"/>
      <w:r w:rsidRPr="00EB259B">
        <w:rPr>
          <w:rFonts w:ascii="Times New Roman" w:eastAsia="Times New Roman" w:hAnsi="Times New Roman" w:cs="Times New Roman"/>
          <w:sz w:val="20"/>
          <w:szCs w:val="20"/>
          <w:lang w:eastAsia="ru-RU"/>
        </w:rPr>
        <w:t>білдіреді.http://www.bweb.ru/projects/intranet/</w:t>
      </w:r>
      <w:proofErr w:type="gramEnd"/>
      <w:r w:rsidRPr="00EB259B">
        <w:rPr>
          <w:rFonts w:ascii="Times New Roman" w:eastAsia="Times New Roman" w:hAnsi="Times New Roman" w:cs="Times New Roman"/>
          <w:sz w:val="20"/>
          <w:szCs w:val="20"/>
          <w:lang w:eastAsia="ru-RU"/>
        </w:rPr>
        <w:t xml:space="preserve">, intranet-жүйелерін сипаттау кезінде негізгі сөз "бірыңғай" сөзі болып табылады: өңдеудің, сақтаудың, ақпаратқа қол жеткізудің бірыңғай тәсілі, жұмыстың бірыңғай біріздендірілген ортасы, құжаттардың бірыңғай форматы. Мұндай тәсіл қызметкерлерге жинақталған корпоративтік білімдерді тиімді пайдалануға, болып жатқан оқиғаларға жедел әрекет етуге мүмкіндік береді, ал кәсіпорын өзінің бизнесін ұйымдастырудың жаңа мүмкіндіктерін </w:t>
      </w:r>
      <w:proofErr w:type="gramStart"/>
      <w:r w:rsidRPr="00EB259B">
        <w:rPr>
          <w:rFonts w:ascii="Times New Roman" w:eastAsia="Times New Roman" w:hAnsi="Times New Roman" w:cs="Times New Roman"/>
          <w:sz w:val="20"/>
          <w:szCs w:val="20"/>
          <w:lang w:eastAsia="ru-RU"/>
        </w:rPr>
        <w:t>ұсынады.http://www.intraoffice.ru/</w:t>
      </w:r>
      <w:proofErr w:type="gramEnd"/>
      <w:r w:rsidRPr="00EB259B">
        <w:rPr>
          <w:rFonts w:ascii="Times New Roman" w:eastAsia="Times New Roman" w:hAnsi="Times New Roman" w:cs="Times New Roman"/>
          <w:sz w:val="20"/>
          <w:szCs w:val="20"/>
          <w:lang w:eastAsia="ru-RU"/>
        </w:rPr>
        <w:t>). 76 елдегі 360 кеңседе жұмыс істейтін фирманың 82 000 қызметкері деректерді, дауысты және бейнелерді беру жүйелерімен қосылған. Жүйе ең маңызды клиенттермен Arthur Andersen жұмысының бүкіл тарихын қамтиды, бұл деректер кез келген корпоративтік пайдаланушы үшін қол жетімді. Бірқатар бірегей шешімдер жүйеге берілді және пайдаланушы үшін қол жетімді нысанда мұқият сақталған. Кез-келген кәсіпқойлар электронды тақта арқылы фирманың барлық қызметкерлерінен кеңес сұрай алады. Телеконференциялардың көмегімен бірлескен шешім шығару мүмкіндігі бар. Arthur Andersen жаңа бағдарламалық қамтамасыз ету көмегімен AANET жүйесі түрінде жұмыс істейтін және дамып келе жатқан өзіндік ұжымдық ақылға сүйене отырып, жаңа шешімдер жасайды. Arthur Andersen бәсекеге қабілеттілігінің айтарлықтай бөлігі бірегей бағдарламалық қамтамасыз етумен қамтамасыз етіледі. Бұл қамтамасыз ету (оның жұмыс жүйесімен қатар) фирманың зияткерлік капиталының елеулі бөлігін білдіреді.</w:t>
      </w:r>
    </w:p>
    <w:p w14:paraId="60C0C0FA"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Буз, Аллен және Гамильтон консалтингтік компаниясында жұмыс істейтін Knowledge on line басқа ұқсас жүйесінде сала, ұқсас жобалар, кеңесшілер туралы қажетті ақпарат алу мүмкіндіктері, сондай-ақ талқылау, оқыту және ағымдағы ақпаратты алу мүмкіндіктері қосылған. Мұндай жүйелердің білімді басқару артықшылықтарын тиімді пайдаланатын барлық кәсіби консалтингтік және басқа да көптеген компаниялары бар. Жақын болашақта ұқсас жүйелер көптеген ұйымдардың, соның ішінде билік органдарының қызметінде шындыққа айналады.</w:t>
      </w:r>
    </w:p>
    <w:p w14:paraId="5DB82736"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Осылайша, екінші стратегия шеңберінде корпоративішілік Ақпараттық жүйелерді қалыптастыруға және дамытуға, оларды технологиялық және маркетингтік мүмкіндіктер туралы, сондай-ақ қандай да бір функцияларды жүзеге асырудың алдыңғы қатарлы тәжірибесі туралы деректермен толтыруды жүзеге асыруға болады.</w:t>
      </w:r>
    </w:p>
    <w:p w14:paraId="7CC52E23"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lastRenderedPageBreak/>
        <w:t xml:space="preserve">Ұйым ішінде қарқынды білім алмасуға бағытталған прогрессивті ұйымдастыру құрылымын қалыптастыру - екінші стратегияны іске асыру бағыттарының бірі. Мысал ретінде "қабықшалы корпорациялар"сипаттарын жиі сатып алатын желілік ұйымдардың қалыптасуын келтіруге болады. Бұл ұйымдарда өндіріс жоқ; ол қосалқы мердігерлік шарттармен басқа ұйымдарға беріледі, ал корпорацияның ішінде кез келген бизнес үшін қажетті функциялар қалады: Стратегиялық жоспарлау, қаржы ағындарын басқару, маркетинг және ішінара ҒЗТКЖ. Бұл ұйымдардың негізгі функциялары ҒЗТКЖ, жүйелік интеграция, логистика, маркетинг, өткізу және қызмет көрсету болып табылады. Желілік ұйымдар иерархиялық құрылымнан бас </w:t>
      </w:r>
      <w:proofErr w:type="gramStart"/>
      <w:r w:rsidRPr="00EB259B">
        <w:rPr>
          <w:rFonts w:ascii="Times New Roman" w:eastAsia="Times New Roman" w:hAnsi="Times New Roman" w:cs="Times New Roman"/>
          <w:sz w:val="20"/>
          <w:szCs w:val="20"/>
          <w:lang w:eastAsia="ru-RU"/>
        </w:rPr>
        <w:t>тартады,оларда</w:t>
      </w:r>
      <w:proofErr w:type="gramEnd"/>
      <w:r w:rsidRPr="00EB259B">
        <w:rPr>
          <w:rFonts w:ascii="Times New Roman" w:eastAsia="Times New Roman" w:hAnsi="Times New Roman" w:cs="Times New Roman"/>
          <w:sz w:val="20"/>
          <w:szCs w:val="20"/>
          <w:lang w:eastAsia="ru-RU"/>
        </w:rPr>
        <w:t xml:space="preserve"> өз бөлімшелерін құрудың жобалық принципі басым. Бұл орталық бизнес-процестерді жүзеге асыру және қызмет көрсету сияқты тікелей өндіріспен айналысатын зияткерлік холдинг.</w:t>
      </w:r>
    </w:p>
    <w:p w14:paraId="3387E7A8"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Желілік ұйымдар инновацияларға, тәуекелге, тұрақты меншікті трансформацияға бағытталған. Олар контрактілеуді кеңінен пайдаланады - көмекші функцияларды бөгде ұйымдарға беру. Субконтракторлардың болуы қажетті икемділікті қамтамасыз етеді, тар мамандану мен кәсіпқойлық есебінен тиімділікті арттырады. Сыртқы контрагенттермен және бизнес-серіктестермен қарым – қатынас желісін қалыптастыру қабілеті-бұл бизнестің көптеген түрлері жетістігінің негізгі факторы. Бүгінде клиент пен жеткізуші арасындағы өзара қарым-қатынас негізінен екі жақты қарым-қатынас ретінде құрылады. Ертең көптеген жеткізушілер мен көптеген клиенттердің желілік өзара іс-қимылы әдеттегі болады.</w:t>
      </w:r>
    </w:p>
    <w:p w14:paraId="7FCEE414"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Қазіргі заманғы қабық фирмасының дәстүрлі мысалы-Lewis Galoob Toys Inc. балалар ойыншықтарын өндірумен айналысатын. Оның тапсырысымен тәуелсіз дизайнерлік фирмалар жаңа ойыншықтар жасап шығарады. Өндіріс пен орауды Гонконг мердігерлері ұйымдастырады, олар өз тапсырыстарын Қытай фабрикаларына орналастырады. Жауап беруші: Рахимжан Гульмира Адилбековна Қазақстан Республикасы Еңбек кодексінің (бұдан әрі-кодекс) 91-бабына сәйкес жұмыс беруші қызметкердің нақты жұмыс істеген жұмыс уақытын есепке алуды жүзеге асыруға тиіс. Барлық төленбеген шоттар факторингтік компанияға беріледі, ол сондай-ақ қабық-компанияның несие саясатына жауап береді. Тек 115 қызметкер ғана бас компания өндірістік процестің барлық қатысушыларының жұмысын үйлестіреді.</w:t>
      </w:r>
    </w:p>
    <w:p w14:paraId="3F10E17B"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Сыртқы ұйымның айқын мысалы – 5,5 млрд долларға сатуды жүзеге асыратын Нитендо компаниясы. жылына алады пайда сомасы 1,3 млрд долл. жұмыспен қамтылғандар саны 900 адам болса, бұл 1,5 млн АҚШ долларын құрайды. корпорацияда жұмыс істейтін бір адамға пайда. Нитендо өз серіктестеріне барлық басқа функцияларды қалдырып, дизайн және маркетинг функцияларын ғана өзіне алды.</w:t>
      </w:r>
    </w:p>
    <w:p w14:paraId="05A6FC3C"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Тағы бір мысал ретінде белгілі жапондық фирма Касио (Casio), ол өз өндірістік базасы жоқ. Ол тапсырыстарды субконтрактілі негізде орналастырады, тек қана маркетингпен және ҒЗТКЖ айналысады, тапсырыстарды орналастыру және өткізу бойынша ірі желі болып табылады.</w:t>
      </w:r>
    </w:p>
    <w:p w14:paraId="72274763"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xml:space="preserve">Оболочное компаниялар Ресейде де бар. Осылайша, аяқ киім шығарумен айналысатын ресейлік City Sign фирмасы келесідей әрекет етеді. Дайын дизайнерлік әзірлемелер негізінде аяқ киімнің жеке коллекциясы жасалады, содан кейін тәжірибелік партияға Тапсырыс орналастырылады. Үлгілер тестіленеді және ресейлік ерекшелікке сәйкес келеді. Содан кейін шетелде 25 фабрикада өндіріс жүзеге асырылады. Сату City Sign сауда белгісімен меншікті дилерлік желі арқылы </w:t>
      </w:r>
      <w:proofErr w:type="gramStart"/>
      <w:r w:rsidRPr="00EB259B">
        <w:rPr>
          <w:rFonts w:ascii="Times New Roman" w:eastAsia="Times New Roman" w:hAnsi="Times New Roman" w:cs="Times New Roman"/>
          <w:sz w:val="20"/>
          <w:szCs w:val="20"/>
          <w:lang w:eastAsia="ru-RU"/>
        </w:rPr>
        <w:t>жүргізіледі .</w:t>
      </w:r>
      <w:proofErr w:type="gramEnd"/>
    </w:p>
    <w:p w14:paraId="67EA86A4"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Желілік принцип бойынша ұйымдастырылған кәсіпорындарда табыстың жаңа факторлары жұмыс істейді, кейде дәстүрлі емес. Жаңа кәсіпорындар үшін дәстүрлі ресурстарды ғана емес, жаңа ресурстар – идеялар мен ақпаратқа еркін және тиімді қол жеткізу маңызды. Олар үшін, ең алдымен, қызметкерлердің шешім шығаруға қатысуы және икемді бақылау маңызды. Тікелей өндірісті шоғырландыру және орталықтандыру емес, өндірістік процестің барлық қатысушылары арасында тиімді желілік өзара іс-қимылды ұйымдастыру маңызды болып табылады.</w:t>
      </w:r>
    </w:p>
    <w:p w14:paraId="2B3C2E27"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Екінші стратегияны іске асырудың тағы бір нысаны қолда бар материалдық емес активтерден қайтарымды ұлғайтуға бағытталған іс-әрекеттерден тұрады. Мысалы, кеңселік басқару жүйесі басқа фирмаларға сатылуы мүмкін. Сондай-ақ патенттер мен лицензиялар сатылуы мүмкін. Егер ұйым иеленетін патенттер саны айтарлықтай пайдалы болса, оларды өнімді пайдалану процесін басқарудың арнайы жүйесі болады. Көптеген ұйымдарда патенттік портфельдерді басқару жүйесі енгізіледі. Мысал ретінде 25 000 патентті иеленген Доу Кемикалс компаниясын әрбір қызметкер осы ақпаратты пайдалана алатындай және компания шеңберінде барлық патенттерді пайдалану тиімділігін арттыра алатындай деректер базасына келтіруге болады.</w:t>
      </w:r>
    </w:p>
    <w:p w14:paraId="3EC34936"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Сыртқы құрылым шеңберінде білімді қалыптастыру мен пайдалануға негізделген үшінші стратегия мынадай сұраққа жауап береді: "ұйымның сыртқы құрылымының элементтері арасында білім алмасу қалай қолданылады?". Сыртқы құрылым элементтеріне клиенттермен, жеткізушілермен, бәсекелестермен, жергілікті қоғамдастықпен байланыс, сондай-ақ ұйымның сауда маркалары мен имиджі жатады.</w:t>
      </w:r>
    </w:p>
    <w:p w14:paraId="0840A7DA" w14:textId="797CAF61" w:rsid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Үшінші стратегия бәсекеге қабілеттілікті арттыратын, оның артықшылықтарын тиімді пайдалануға ықпал ететін ұйымның тиімді сыртқы байланыстарын құруға бағытталған. Бұл стратегия жеткізушілермен, қызметкерлермен, акционерлермен, жергілікті қоғамдастықтармен және т. б. қатынастарды дамытуға бағытталған маркетингтік технологияларға сүйенеді.</w:t>
      </w:r>
    </w:p>
    <w:p w14:paraId="06A95DFC"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xml:space="preserve">Ұйымның сыртқы контрагенттермен конструктивтік және тиімді байланыстарын қалыптастырудың нақты тәсілдері мен басқару технологияларын зерттеуге көптеген және бірқатар жағдайларда Маркетинг теориясы мен практикасы бойынша ауқымды зерттеулер арналған. Бұл зерттеулердің орталық сәті клиенттің қажеттілігін терең түсінуге, оның жасырын қажеттіліктерін анықтауға, қызмет көрсетуде іске асырылмаған мүмкіндіктерді іздеуге және осының негізінде клиенттермен қарым-қатынасты дамытуға мүмкіндік беретін </w:t>
      </w:r>
      <w:r w:rsidRPr="00EB259B">
        <w:rPr>
          <w:rFonts w:ascii="Times New Roman" w:eastAsia="Times New Roman" w:hAnsi="Times New Roman" w:cs="Times New Roman"/>
          <w:sz w:val="20"/>
          <w:szCs w:val="20"/>
          <w:lang w:eastAsia="ru-RU"/>
        </w:rPr>
        <w:lastRenderedPageBreak/>
        <w:t>әдістер мен тәсілдер болып табылады. Үшінші стратегияның үш аспектісін атап өтуге болады-имидж қалыптастыру, сауда маркасын басқару, сондай-ақ ұйымның сыртқы ортасының жекелеген элементтерінің өзара әрекеттесуін басқару.</w:t>
      </w:r>
    </w:p>
    <w:p w14:paraId="2A873011"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xml:space="preserve">Үшінші стратегияның маңызды элементі ұйымның оң имиджін дамытуға бағытталған іс-әрекеттер болып табылады. Осындай оң имиджді қалыптастыру мақсатында әртүрлі арнайы PR-акциялар </w:t>
      </w:r>
      <w:proofErr w:type="gramStart"/>
      <w:r w:rsidRPr="00EB259B">
        <w:rPr>
          <w:rFonts w:ascii="Times New Roman" w:eastAsia="Times New Roman" w:hAnsi="Times New Roman" w:cs="Times New Roman"/>
          <w:sz w:val="20"/>
          <w:szCs w:val="20"/>
          <w:lang w:eastAsia="ru-RU"/>
        </w:rPr>
        <w:t>пайдаланылады,сондай</w:t>
      </w:r>
      <w:proofErr w:type="gramEnd"/>
      <w:r w:rsidRPr="00EB259B">
        <w:rPr>
          <w:rFonts w:ascii="Times New Roman" w:eastAsia="Times New Roman" w:hAnsi="Times New Roman" w:cs="Times New Roman"/>
          <w:sz w:val="20"/>
          <w:szCs w:val="20"/>
          <w:lang w:eastAsia="ru-RU"/>
        </w:rPr>
        <w:t>-ақ сыртқы байланыстарға байланысты барлық қызмет ерекше түрде үйлестіріледі.</w:t>
      </w:r>
    </w:p>
    <w:p w14:paraId="1F4BB366"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Үшінші стратегияның дербес және маңызды элементі сауда маркасын жетілдіру болып табылады. Бірқатар жағдайларда сауда маркасы фирманың зияткерлік капиталының елеулі үлесін құрайды. Әлемнің ең қымбат сауда маркасының құнын Кока кола-72 млрд. оның құнын арттыру мақсатында сауда маркасын басқару қаншалықты маңызды екенін түсіну үшін. Сондықтан бірқатар коммерциялық ұйымдарда жоғары басшылық шеңберінде сауда маркасы бойынша директордың арнайы лауазымы бар. Дәл осы директор білімді басқаруды сауда маркасын дамыту бүкіл фирманың бәсекеге қабілеттілігін нығайтуға мүмкіндік туғызуға бағыттайды.</w:t>
      </w:r>
    </w:p>
    <w:p w14:paraId="362E24E0"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Отандық тәжірибеде сауда маркасын басқаруға, сондай-ақ брэндті басқаруға аса назар аударылады. Ғылыми журналдарда сауда маркасын бағалау мәселелеріне арналған алғашқы басылымдар пайда болады. Алайда көптеген табысты жұмыс істеп тұрған ресейлік кәсіпорындар әзірге мұндай басқарудың маңыздылығын толық көлемде бағалаған жоқ.</w:t>
      </w:r>
    </w:p>
    <w:p w14:paraId="23497088"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Бірқатар жағдайларда үшінші стратегия сыртқы құрылымның жекелеген элементтері арасындағы өзара іс-қимылды ұйымдастырумен байланысты. Мысал ретінде редакциялық кеңестерді, баспаларды, консалтингтік компаниялардың қызметтерін тұтынушылар жиналысын, ЖОО түлектері қауымдастығын және т. б. ұйымдастыратын оқырман конференцияларын келтіруге болады.</w:t>
      </w:r>
    </w:p>
    <w:p w14:paraId="536ECC00"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Зияткерлік капиталдың жекелеген құрамдастары аддитивті емес, яғни әр түрлі құрамдастардың өзара іс-қимылы процесінде оң нәтиже алуға болады, қоса берілген күш-жігерге тең емес. Сондықтан білімді басқару құпияларының бірі интеллектуалды капиталдың түрлі түрлерінің тиімді өзара әрекеттестігінде жатыр. Осы өзара іс-қимылға негізделген стратегияларды қарастырайық.</w:t>
      </w:r>
    </w:p>
    <w:p w14:paraId="5C94F77C"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Қызметкерлердің жеке құзыреттілігі мен ұйымның сыртқы құрылымы арасындағы білім алмасуға негізделген төртінші стратегия: "қызметкерлер тұтынушылардың, жеткізушілердің және басқа да контрагенттердің құзыретін қалай арттырады, сондай-ақ тұтынушылар, жеткізушілер және акционерлер сияқты, өз кезегінде, персоналдың құзыретін арттырады?"</w:t>
      </w:r>
    </w:p>
    <w:p w14:paraId="59E747EE"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Бұл стратегия ұйым қызметкерлерінің жеке құзыретін арттыратын тұтынушылармен өзара іс-қимыл тәсілдері мен әдістерін жасайды. Бұл әртүрлі жолдармен, ең алдымен, тұтынушылармен тікелей байланыс арқылы болуы мүмкін. Сондықтан көптеген компанияларда клиенттермен тікелей байланысатын қызметкерлердің үлесін арттыру туралы мәселе туындайды. Әлеуметтік зерттеулер көмегімен немесе тікелей байланыс орнату арқылы алынған кез келген кері байланыс нысандарын қызметкерлердің біліктілігін арттыру және олардың тұтынушылардың Жаңа сұраныстарына жауап беруге дайындығын арттыру мақсатында пайдалануға болады.</w:t>
      </w:r>
    </w:p>
    <w:p w14:paraId="18BF6748"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Кейде төртінші стратегия ретінде компания қызметкерлерінен жеке құзыреттілікті сыртқы құрылымдарға беруге бағытталған әрекеттерді атап көрсетуге болады. Мұның мысалы McKinsey консалтингтік компаниясының кітаптарын жариялау. Ашықтық, білімді өтеусіз негізде беруге дайындық бұл жағдайда консалтингтік қызметтерді әлеуетті тұтынушылар оларды алуға барынша дайын болуына ықпал етеді. McKinsey стратегиясы ұйымның оң имиджін қалыптастыруға ықпал етеді.</w:t>
      </w:r>
    </w:p>
    <w:p w14:paraId="01E9E544"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Соңғы уақытта әлемдік тәжірибеде кеңінен таралған білімді басқарудың танымал технологияларының бірі бенчмаркинг болды. БЕНЧМАРКИНГ - ерекше басқару рәсімі, ол ұйымның жұмыс тәжірибесіне ұқсас үздік ұйымдар жұмысының технологиялары, стандарттары мен әдістері енгізілуде. Бенчмаркинг процесінде ең жоғары тиімділікті көрсететін ұйымдарды (кәсіпорындарды) іздеу, олардың жұмыс әдістеріне үйрету және өз жағдайында озық әдістерді іске асыру жүзеге асырылады.</w:t>
      </w:r>
    </w:p>
    <w:p w14:paraId="050D0659"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Бенчмаркинг процесінде үздік ұйымдардың тәжірибесі талданады, тұтынушылар мен клиенттердің қажеттіліктерін қанағаттандыру процесінде көшбасшылар не және неге жасайды деген сұраққа жауап іздейді. Бенчмаркинг-бұл үздік ұйымдарды анықтаудың, олардың өнімдері мен өндіріс әдістерін осы ұйымдардың озық тәжірибесін пайдалану мақсатында бағалаудың жүйелі процесі.</w:t>
      </w:r>
    </w:p>
    <w:p w14:paraId="5FB930FD"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Бенчмаркингтің негізінде ұйымның жұмысын тұрақты жақсарту мақсатында іс-қимылды жоспарлау, үйлестіру, уәждеу және бағалау циклін көздейтін қызметті үздіксіз жетілдіру тұжырымдамасы жатыр. Бәсекелестік және функционалдық бенчмаркингті бөліп көрсетуге болады.</w:t>
      </w:r>
    </w:p>
    <w:p w14:paraId="5E9954A2"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Бәсекелес бенчмаркинг ұйымның тікелей бәсекелестерінің бұйымдарын, қызметтерін және жұмыс процестерін қарастырады.</w:t>
      </w:r>
    </w:p>
    <w:p w14:paraId="3B50A9A3"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Функционалдық бенчмаркинг осы компанияның тікелей бәсекелестері болып табылмайтын ұйымдардың бұйымдарын, қызметтерін және жұмыс процестерін қарастырады.</w:t>
      </w:r>
    </w:p>
    <w:p w14:paraId="2088A370"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Өткен жылдардың отандық тәжірибесінде бенчмаркинг социалистік жарыс шеңберінде үздік кәсіпорындардың озық тәжірибесін пайдалану ретінде белгілі. Алайда, нарықтық жағдайларда пайдаланылатын бенчмаркингтің орталықтандырылған экономика кезінде әлеуметтік жетілдіру шеңберінде озық тәжірибені енгізуден маңызды айырмашылықтары бар.</w:t>
      </w:r>
    </w:p>
    <w:p w14:paraId="34F2D5A2"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xml:space="preserve">Бұл тәсілдердің айырмашылықтары </w:t>
      </w:r>
      <w:proofErr w:type="gramStart"/>
      <w:r w:rsidRPr="00EB259B">
        <w:rPr>
          <w:rFonts w:ascii="Times New Roman" w:eastAsia="Times New Roman" w:hAnsi="Times New Roman" w:cs="Times New Roman"/>
          <w:sz w:val="20"/>
          <w:szCs w:val="20"/>
          <w:lang w:eastAsia="ru-RU"/>
        </w:rPr>
        <w:t>мынадай::</w:t>
      </w:r>
      <w:proofErr w:type="gramEnd"/>
    </w:p>
    <w:p w14:paraId="62FA6870"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lastRenderedPageBreak/>
        <w:t>1) әлеуметтік жарысу кезінде жоғарыдан ең жақсы үлгілер жиі таңылды, ал бенчмаркинг бастамашылық негізде өткізіледі;</w:t>
      </w:r>
    </w:p>
    <w:p w14:paraId="3B85808E"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2) бенчмаркинг ұқсас кәсіпорындардың ғана емес, сондай-ақ басқа салалар мен салалардың кәсіпорындарының озық тәжірибесін пайдаланады;</w:t>
      </w:r>
    </w:p>
    <w:p w14:paraId="0BA1A8B2"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3) бенчмаркинг еліктеу үшін ең жақсы үлгілерді іздемейді, оған қандай да бір параметрлер бойынша жақсы болған қызмет тәжірибесін пайдалану жеткілікті және осының негізінде өз қызметін жетілдіруді жүргізу;</w:t>
      </w:r>
    </w:p>
    <w:p w14:paraId="53D177B9"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4) бенчмаркинг, әдетте, үздіксіз жүзеге асырылады. Әр жолы қандай да бір жаңалықтарды енгізгеннен кейін оларды осы ұйымда пайдалану үшін ең жақсы үлгілерді жаңа іздеу жүргізіледі.</w:t>
      </w:r>
    </w:p>
    <w:p w14:paraId="25EAE3DA"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Батыс әдебиетінде менеджмент бойынша кең таралған классикалық мысал Ксерокс фирмасының бенчмаркингі болды. 1980 жылдардың басында дистрибьюциямен айналысатын осы фирманың бөлімшесі қоймалық функцияларды орындаудың төмен тиімділігіне тап болды. Ксерокс түрлі компанияларда қойма жұмыстарын ұйымдастыру тәжірибесін мақсатты түрде зерттеді және алдыңғы қатарлы ақпараттық технологиялар базасында қойма операциялары өте тиімді орындалған L. L. Bean компаниясына тоқталды. Бұл екі компанияның жинақталатын сақтау бірліктерінің параметрлері ұқсас болды, бұл Ксероксте L.L. Bean қоймалық қызметін ұйымдастыру тәжірибесін қолдануға негіз болды.</w:t>
      </w:r>
    </w:p>
    <w:p w14:paraId="3F33EE66"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L.L. Bean-ның басты артықшылығы ол қағазсыз технологияның көмегімен автоматтандырылған режимде барлық қойма операцияларын орындауды ұйымдастырғаны және осы негізде шығындардың айтарлықтай төмендеуіне қол жеткізгені болды. Сол тәсілдерді іске асыру және ұқсас ақпараттық технологияларды пайдалану Ксероксқа өзінің қойма операцияларының тиімділігін айтарлықтай арттыруға мүмкіндік берді. Бұл мысал қызықты, ең алдымен Ксерокс компаниясы басқа фирмалардың тәжірибесін өз бетінше зерделеуді ұйымдастырғаны, олардан неғұрлым қолайлы екенін таңдап алғаны, елеулі көрсеткіштерге қол жеткізуге мүмкіндік берген негізгі факторларды бөліп алғаны, содан кейін осы тәжірибені өз тәжірибесіне сәтті енгізгені.</w:t>
      </w:r>
    </w:p>
    <w:p w14:paraId="464D8E7B"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Бенчмаркинг коммерциялық кәсіпорындарда ғана емес, мемлекеттік басқаруда да өз қолданылуын тапты. Әлемнің көптеген елдерінің ұлттық және жергілікті үкіметтері өз шығындарын азайту, басқару тиімділігін арттыру, жұмсалған бюджет қаражатының қайтарымын күшейту, азаматтарға көрсетілетін қызметтердің сапасын арттыру тәсілдерін іздестіруде. Алайда, мұны істеу үшін қолда бар тәжірибені мұқият және мұқият зерделеу және қоғамдық және жеке секторлардың табысты жұмыс істейтін ұйымдарын басқарудың тәсілдері мен әдістерін ауыстыру қажет. Бенчмаркинг-алдыңғы қатарлы басқару тәжірибесін беру мен бейімдеуге мүмкіндік беретін басқарушылық технология.</w:t>
      </w:r>
    </w:p>
    <w:p w14:paraId="285FCCD7"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Бенчмаркинг-қызметкерлерді оқыту технологияларына жақын жанасатын басқару технологиясы.</w:t>
      </w:r>
    </w:p>
    <w:p w14:paraId="3F61104D" w14:textId="7E422ADE" w:rsid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Бірқатар жағдайларда персоналды оқыту ұйымның сыртқы құрылымының мүмкіндіктерін пайдаланады. Соңғы жылдары кәсіби өндіруші және білім беру қызметтерін жеткізуші ұйымдастыратын компания қызметкерлерін қашықтықтан оқытуды жүзеге асыру мүмкін болды. Интернет арқылы деректерді беру құралдарын қолдана отырып қашықтықтан оқыту кең таралған. Көптеген ірі корпорациялар осындай қызмет түрлерінің ірі өндірушілері ұсынатын оқыту саласындағы жаңа қызметтерді тұтынушылар болады. Мысалы, Ұлыбританиядағы ашық университет және АҚШ-тағы ұлттық технологиялық университет General Electric, Hewlett Packard, Texas Instruments және т. б. компанияларға оқыту және тренинг қызметтерін сатады.</w:t>
      </w:r>
    </w:p>
    <w:p w14:paraId="6737EC14"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Жеке құзыреттілік пен ішкі құрылым арасында білім алмасуға негізделген бесінші стратегия мынадай сұраққа жауап береді: "қызметкерлердің жеке құзыреті ұйымның ішкі құрылымының элементтерін құруға қалай ықпал етеді және тиісінше ішкі Құрылым элементтерінің көмегімен жеке құзыреттілікті қалай арттыруға болады?"</w:t>
      </w:r>
    </w:p>
    <w:p w14:paraId="6768AE0E"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Бұл стратегия негізінен жеке білімін ішкікорпоративтік жүйелерге көшірумен және оны басқа қызметкерлердің кеңінен пайдалануы мақсатында сол жерде бекітумен айналысады.</w:t>
      </w:r>
    </w:p>
    <w:p w14:paraId="35EA336A"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Мысал ретінде McKinsey консалтингтік компаниясын және онда жұмыс істейтін білім базасын келтіруге болады, оған әрбір тапсырыс туралы мәліметтер, оның ішінде жобаға қатысушылардың тегі, клиенттердің реакциясы мен бағасы, сондай-ақ ұсынылған шешімдер енгізіледі. Осыған байланысты әрбір жұмыс тобы тарихшыны тағайындайды, ол осы білім базасына деректерді енгізуге міндетті. Осылайша, тәсілдер, қағидаттар, іс-қимылдар реттілігі, проблемаларды құрылымдау тәсілдері түріндегі жеке білімдердің едәуір бөлігі компанияның барлық сарапшыларына қолжетімді болады.</w:t>
      </w:r>
    </w:p>
    <w:p w14:paraId="74C34BA9"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Бұл жеке білімдердің ұжымдық білімдерге ауысуы туралы айтуға мүмкіндік береді, бұл жаңа қызметкерлерді тікелей міндеттерін орындаудан үзбей, олардың жұмыс орындарында өте тиімді оқытуды жүргізуге мүмкіндік береді. Бұл сондай-ақ компанияны оған үлкен тәжірибесі мен білімі бар қандай да бір сарапшылардың қатысуына тәуелді емес етеді.</w:t>
      </w:r>
    </w:p>
    <w:p w14:paraId="033A90A7"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Осыған ұқсас тәсілдер Chevron компаниясында жүзеге асырылды. Мұнда үздік басқару және ұйымдастыру шешімдері туралы деректер базасы бар. Бұл ретте, онда қажетті шешімді іздеуді жеңілдету үшін басқа ұқсас ақпараттық ресурстарға сілтемелер бар.</w:t>
      </w:r>
    </w:p>
    <w:p w14:paraId="78CC0CB0"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 xml:space="preserve">Басқа сипатты мысал – ABB фирмасы (Asea Brown Bovery) - электр техникалық, энергетикалық және металл өңдеу жабдықтарын өндіретін алып өнеркәсіптік трансұлттық корпорация. Оның жылдық айналымы 32 млрд. Корпорацияда бизнестің 65 облысында жұмыс істейтін 215 мың адам еңбек етеді. Олар әлемнің 80 елінде жұмыс істейді. ABB 1.300 тәуелсіз компаниялардан тұрады, олар өз кезегінде, құрамында жалпы саны 5.000 асатын пайда орталықтары бар. Әрбір осындай орталық өз балансын жүргізеді, пайда мен шығындар </w:t>
      </w:r>
      <w:r w:rsidRPr="00EB259B">
        <w:rPr>
          <w:rFonts w:ascii="Times New Roman" w:eastAsia="Times New Roman" w:hAnsi="Times New Roman" w:cs="Times New Roman"/>
          <w:snapToGrid w:val="0"/>
          <w:color w:val="000000"/>
          <w:sz w:val="20"/>
          <w:szCs w:val="20"/>
          <w:lang w:eastAsia="ru-RU"/>
        </w:rPr>
        <w:lastRenderedPageBreak/>
        <w:t>бойынша есеп жасайды, өз активтерін иеленеді және тұтынушыларға тікелей қызмет көрсетеді. Барлық кіріс орталықтары бір-біріне қатысты әлеуетті стратегиялық серіктестер болып табылады.</w:t>
      </w:r>
    </w:p>
    <w:p w14:paraId="470FBAB8"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Бизнес жүргізудің ерекше жағдайлары бар әлемнің әртүрлі елдерінде орналастырылған әртүрлі өндірістерге қатысты конгломерат бола отырып, ABB білімнің, технологиялық "ноу-хаудың" және тәжірибенің "рычаг" артықшылықтарын толық көлемде пайдаланады. Ішкі корпоративтік мәдениет, сенім және білім алмасу негізінде әрбір табыс Орталығы өз міндеттерін шешуде фирманың кез келген бөлімшесіне жүгіне алады. Бұл ретте корпоративішілік желі және тиісті бағдарламалық қамтамасыз ету пайдаланылады. Жыл сайын ҒЗТКЖ-ға 2,6 млрд., бұл сату көлемінің 8% - ын құрайды, ABB өзара білім, тәжірибе және жаңа енгізілімдердің тығыз ағыны есебінен ең жоғары нәтижеге қол жеткізеді.</w:t>
      </w:r>
    </w:p>
    <w:p w14:paraId="417AFC49"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British Petroleum мұнай корпорациясы компанияның барлық қызметкерлерінің таланттарын бірлесіп пайдалану үшін қазіргі заманғы ақпараттық технологияларды қолданады. Корпорацияда негізгі назар ішкікорпоративтік желілер бойынша анық білімдерді беруге ғана емес, анық білімдерді таратуға да жасалады. Осы мақсатта корпорацияда бейнеконференция, мультимедиа және электрондық пошта сияқты заманауи құралдар кеңінен қолданылады.</w:t>
      </w:r>
    </w:p>
    <w:p w14:paraId="262D5563"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Барлық келтірілген мысалдарда ұйым шеңберінде белгісіз білім айқын болып, яғни бекітілген рәсімдер және т.б. құжаттар нысанына айналады. Жеке құзыреттіліктен ішкі құрылымға білім ағыны жүреді, содан кейін ақпараттық жүйелерде бекітіледі. Сонымен қатар, барлық ұйымдар емес, осы бағытта білім ағынын бағыттауға әрқашан мүдделі емес.</w:t>
      </w:r>
    </w:p>
    <w:p w14:paraId="34317AC7"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Өйткені, кез келген ұйымның бәсекеге қабілеттілігі, оның ішінде ол бар ресурстардың қаншалықты бірегей екенін анықтайды. Ресурс неғұрлым бірегей болған сайын, әсіресе ұйымның нарықтағы өзінің бәсекеге қабілеттілігі мен монополиялық жағдайын сақтап қалу мүмкіндігі қалады. Егер сөз нақты қызметкерлердің анық емес білім түріндегі білім сияқты ресурс туралы болса, онда ұйым бұл білімді тираждау мен еркін көшіруге берілетін айқын нысанға ауыстыруға әрдайым мүдделі болмайды. Бұл жағдайда фирма өзінің бірегей ресурсын жоғалтады. Сондықтан кейбір фирмалар оны беру қиын болған кезде, білім беруді жарамсыз күйінде қалдыруға жиі мүдделі.</w:t>
      </w:r>
    </w:p>
    <w:p w14:paraId="693FE687"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Сыртқы және ішкі құрылым элементтері арасында білім алмасуға негізделген алтыншы стратегия мынадай сұраққа жауап береді: "сыртқы құрылымдардан ішкі құрылымдарға және керісінше, ішкі құрылымдардан ұйымның сыртқы құрылымдарына білім ағыны қалай жүзеге асырылады?"</w:t>
      </w:r>
    </w:p>
    <w:p w14:paraId="537BB8C3"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Бұл стратегия негізінен ұйымның сыртқы контрагенттерімен өзара іс-қимыл саласынан ішкі корпоративтік жүйелерге білімді көшіру және қызметкерлердің кеңінен пайдалануы мақсатында оларды бекіту ісі бар.</w:t>
      </w:r>
    </w:p>
    <w:p w14:paraId="4C6BE403"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Осы стратегия шеңберінде тұтынушыларға жүйелі түрде сауалнама жүргізіледі, тұтынушылар және олардың қалауы туралы деректер базасы қалыптастырылады. Мысал ретінде P&amp;G компаниясының ыстық телефон желісі бола алады, оның аясында жыл сайын тұтынушылардан 200 000-нан астам телефон қоңыраулары өңделеді. Алынған ақпарат одан кейін тауарлар мен қызмет көрсетуді жетілдіру үшін пайдаланылады, компанияның бәсекеге қабілеттілігінің қуатты факторына айналады.</w:t>
      </w:r>
    </w:p>
    <w:p w14:paraId="62171264"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1982 жылдан бастап Дженерал электрик фирмасында ол шығаратын техниканың қандай да бір ақауларына тұтынушылардың барлық шағымдары жиналады. Тиісті деректер базасы жедел желіні пайдалана алатын және білікті жауап алатын клиенттерге жедел көмек үшін негіз болып табылады. Қазіргі уақытта Деректер базасына Дженерал электрик өндіретін техниканы пайдалану кезінде туындайтын 1,5 млн әлеуетті мәселе енгізілді.</w:t>
      </w:r>
    </w:p>
    <w:p w14:paraId="2A297539"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Алтыншы стратегия тұтынушыларға қызмет көрсету сапасын арттыру мақсатында пайдаланылады. Мұнда Ritz Carlton желісінің қонақ үйлерінде қонақтарға қызмет көрсетуді ұйымдастыру мысал бола алады. Қонақ үй қызметкерлерінің әрқайсысы оған клиент тікелей жүгінген жағдайда, мейман өтінішінің мәні және шешілуі қажет мәселелер туралы арнайы карточканы толтырады. Бұл мәліметтер клиенттің барлық тілектерімен бірге, қонақтың қайта келуі кезінде оның барлық жеке тілектерін алдын ала ескеру үшін арнайы деректер базасына енгізіледі. Кейбір мейрамханаларда ұқсас технология негізінде жеке қызмет көрсетіледі. Әрбір келуші туралы арнайы дерекқорға оның қалауы туралы мәліметтер енгізіледі. Қайта келген кезде клиентке оның алдыңғы таңдауын ескере отырып, жеке қызмет көрсету ұсынылады.</w:t>
      </w:r>
    </w:p>
    <w:p w14:paraId="1382DEF5"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Клиенттер туралы деректер базасы-бұл компанияның маңызды ресурстарының бірі, ішкі құрылымның маңызды элементі. Мұндай түрдегі мысал ретінде Ридерз Дайджест компаниясының клиенттері туралы деректер базасы бола алады, онда ондаған миллион отбасылардың қалауы туралы, олардың журналдар, кітаптар, кассеталар мен дискілердің тапсырыстары туралы ақпарат жинақталған. Бұл деректер бола отырып, компания бірнеше жыл ішінде алдыңғы таңдауларды ескере отырып, жеке қызмет көрсетуді жүзеге асыра алады. Дәл осындай жеке қызмет көрсетуді ұйымдастыру арқылы және өз клиенттері туралы деректерді шоғырландыру арқылы компания бәсекелестермен салыстырғанда елеулі артықшылықтарды қамтамасыз етеді.</w:t>
      </w:r>
    </w:p>
    <w:p w14:paraId="1EB008EA"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Бәсекеге қабілеттілікті қамтамасыз ету үшін кейбір фирмалар клиенттерге қызмет көрсету процесінде оларға сатылған тауарды тиімді пайдаланудың факторы болып табылатын қосымша нақты мәліметтерді береді. Сонымен, Agro Corp USA фирмасы тыңайтқыш пен тұқым фермерлерге сатады. Өзінің сауда өкілдері арқылы ол оларды тек тауарлармен ғана емес, ауа-райы мәліметтерімен, егіннің болжамдарымен қамтамасыз етеді, кеңес беру арқылы әрбір фермерлік шаруашылықтың нақты топырақ жағдайын ескере отырып, қажетті агротехникалық шешімдерді таңдауға көмектеседі.</w:t>
      </w:r>
    </w:p>
    <w:p w14:paraId="23477E28" w14:textId="1B39857E" w:rsid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lastRenderedPageBreak/>
        <w:t>Басқа мысал ретінде Ernst &amp; Young компаниясын келтіруге болады, ол клиенттерге кейбір деректер қорына кіруге рұқсат береді. Мерил Линч ірі қаржы компаниясы (Merill Linch) бір-бірімен байланысты 500 брокерлік кеңселерден тұрады, олар үшін Деректер базасына және орталық кеңсенің барлық коммуникациялық мүмкіндіктеріне тікелей қол жеткізу қамтамасыз етіледі. Бұл компанияның қажеттілігі үшін арнайы құрылған тиісті бағдарламалық және аппараттық құралдардың арқасында мүмкін болады. Компанияның арнайы орталықтары жүргізетін талдамалық зерттеулердің нәтижелеріне ие бола отырып және әлемдік қаржы нарықтарына тікелей қол жеткізуді жүзеге асыра отырып, филиалда жұмыс істейтін Мерил Линч әрбір қаржы брокері өзінің жоғары бәсекеге қабілеттілігін қамтамасыз етеді. Іс жүзінде брокер арқылы корпоративтік деректер базасынан қажетті білім клиентке түседі және көптеген ықтимал инвестициялық шешімдер арасында өз таңдауын жасауға көмектеседі.</w:t>
      </w:r>
    </w:p>
    <w:p w14:paraId="295DD049"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Сыртқы құрылым-бұл тек клиенттер ғана емес, сонымен қатар бәсекелестер де, сондықтан алтыншы стратегия шеңберінде бәсекелестерден ұйымның барлық ішкі құрылымдарына білім алуға бағытталған іс-әрекеттер кездеседі. Атап айтқанда, соңғы уақытта көптеген ірі корпорациялар ҒЗТКЖ-ны бірлесіп өткізу үшін бәсекелестермен альянстарды құру сияқты қабылдауға ұмтыла бастады. Өйткені, бәсекелестік Артықшылықтар ҒЗТКЖ процесінде алынған білімдерде жиі емес, неғұрлым жұқа сипат ақпаратында: бәсекелестік туралы, оның бизнесін ұйымдастыру тәсілдері туралы, персоналдың келмей қалуы туралы және т. б.</w:t>
      </w:r>
    </w:p>
    <w:p w14:paraId="0F0C4070"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Алтыншы стратегия шеңберінде өндірістік процесті ұтымды ету, шығындарды азайту және қорларды оңтайландыру мақсатында сату туралы деректер жинау да жүзеге асырылады. NBIC велосипедін өндіретін жапон компаниясы әрбір үлгі шеңберінде биіктік, түс және салмақ параметрлері бойынша сатуға сәйкес өндірісті түзету үшін әр күн ішінде велосипедтерді бөлшек сату туралы деректерді пайдаланады.</w:t>
      </w:r>
    </w:p>
    <w:p w14:paraId="6410B9D7"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Бенеттон фирмасында оған тиесілі барлық киім дүкендерінде күнделікті сату туралы ақпарат автоматты режимде шоғырланады және компьютерлер жүйесі арқылы тікелей өндірістік бөлімшелерге беріледі.</w:t>
      </w:r>
    </w:p>
    <w:p w14:paraId="70B64CF0"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 xml:space="preserve">Бірқатар жағдайларда алтыншы стратегия шеңберінде маркетингтік ақпаратты бір немесе бірнеше фирмалардың қызметінде одан әрі пайдалану үшін жинау жүзеге асырылады. Италияда, Ареццо және Виченц провинцияларында және Поленца қаласының маңында негізінен алтыннан жасалған зергерлік бұйымдар өндірісі шоғырланған. Шағын шеберханаларда (5000 астам) жыл сайын 460 т алтын өңделеді. Мұнда жасалған әшекейлердің басым бөлігі экспортталады, экспорт көлемі 5 млрд. </w:t>
      </w:r>
      <w:proofErr w:type="gramStart"/>
      <w:r w:rsidRPr="00EB259B">
        <w:rPr>
          <w:rFonts w:ascii="Times New Roman" w:eastAsia="Times New Roman" w:hAnsi="Times New Roman" w:cs="Times New Roman"/>
          <w:snapToGrid w:val="0"/>
          <w:color w:val="000000"/>
          <w:sz w:val="20"/>
          <w:szCs w:val="20"/>
          <w:lang w:eastAsia="ru-RU"/>
        </w:rPr>
        <w:t>АҚШ .</w:t>
      </w:r>
      <w:proofErr w:type="gramEnd"/>
      <w:r w:rsidRPr="00EB259B">
        <w:rPr>
          <w:rFonts w:ascii="Times New Roman" w:eastAsia="Times New Roman" w:hAnsi="Times New Roman" w:cs="Times New Roman"/>
          <w:snapToGrid w:val="0"/>
          <w:color w:val="000000"/>
          <w:sz w:val="20"/>
          <w:szCs w:val="20"/>
          <w:lang w:eastAsia="ru-RU"/>
        </w:rPr>
        <w:t xml:space="preserve"> Бұл алтын әшекейлер өндірушілер нарықта тұрақты орын алады, оның ішінде алтын мен зергерлік әшекейлердің баға конъюнктурасын қадағалайтын қуатты ақпараттық жүйелердің арқасында. Бағаның аздаған ауытқуы олар өз пайдасына пайдаланады. Осы мақсатта провинцияларда алтынмен операцияларды жүзеге асыратын әлемнің барлық маңызды сауда алаңдарымен байланыс арналары бар қуатты ақпараттық орталық құрылды. Осылайша, сыртқы құрылымдардан білім қуатты бәсекелестік артықшылыққа ие бола отырып, ішкі құрылымдарға ауысады.</w:t>
      </w:r>
    </w:p>
    <w:p w14:paraId="1CB2793E"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Жетінші стратегия – бұл зияткерлік капиталдың барлық түрлері арасында бір мезгілде білім қозғалысына сүйенетін стратегия.</w:t>
      </w:r>
    </w:p>
    <w:p w14:paraId="05E2024A"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Жетінші стратегияны жүзеге асыратын ұйымның жарқын мысалы McKinsey консалтингтік фирмасы болып табылады. Көптеген ұйымдардың ішінде McKinsey активтердің барлық түрлеріне қолданылатын білімді басқару жүйесі бар. Әдетте ұйым шеңберінде акцент зияткерлік капиталдың қандай да бір түріне жасалады. Кейбір ұйымдар адам капиталына, оқытуға, тренингтерге, мотивация жүйесіне және қызмет бойынша ілгерілетуге ерекше көңіл бөледі. Басқалары маркетинг, тауарды нарыққа жылжыту, нарықтың тиісті үлесін иелену мәселелеріне баса назар аударады. Үшіншісі қазіргі заманғы ақпараттық технологияларды пайдалана отырып құрылған корпоративтік басқару жүйелерін құрумен айналысады. Тек бір уақытта білімді басқарудың барлық аспектілеріне көп көңіл бөледі. Олардың арасында McKinsey фирмасы бар.</w:t>
      </w:r>
    </w:p>
    <w:p w14:paraId="4A7E7E4A"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Фирма жетінші стратегияны толық көлемде жүзеге асыруда үнемі зияткерлік капитал мониторингі болып табылады. Қазіргі уақытта өзінің зияткерлік капиталын үнемі бағалайтын бірқатар коммерциялық кәсіпорындар бар.</w:t>
      </w:r>
    </w:p>
    <w:p w14:paraId="71BFB991"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Бұл, ең алдымен, Швед Скандия сақтандыру компаниясы, PLS Consult консалтингтік компаниясы, 1990 жылдан бастап пайда мен шығындар есебін, сондай-ақ адам ресурстарына инвестицияларды көрсететін балансты қоса алғанда, өзінің адам капиталын бағалауды жариялайтын Telia Швед телекоммуникациялық компаниясы.</w:t>
      </w:r>
    </w:p>
    <w:p w14:paraId="633EE3F6"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Бірқатар жағдайларда бірнеше жыл бойы білімді басқару тәжірибесі бар ұйымдар Зияткерлік капиталдың барлық элементтерімен бір мезгілде айналысатын интеграцияланған стратегияларды өзінде енгізеді. Мұндай стратегиялардың бірі-фирманың өзінде Навигатор деп аталатын Скандия фирмасының стратегиясы.</w:t>
      </w:r>
    </w:p>
    <w:p w14:paraId="7EBC50F8"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Навигатор аясында жасалған басқару технологиясы әрбір бөлімшеге, тіпті әрбір қызметкерге белгілі бір үлгіге сәйкес өз қызметін жоспарлауды ұсынады. Бұл үлгі қарастырады:</w:t>
      </w:r>
    </w:p>
    <w:p w14:paraId="197B3CEC"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миссияны орнату, көріністі қалыптастыру, стратегияны анықтау;</w:t>
      </w:r>
    </w:p>
    <w:p w14:paraId="27DCE2E8"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алға қойылған мақсаттарға жету үшін қажетті табыс факторларын анықтау;</w:t>
      </w:r>
    </w:p>
    <w:p w14:paraId="5FF9A875"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осы факторларды пайдалануға немесе оларды дамытуға бағытталған іс-қимыл жоспарын жасау;</w:t>
      </w:r>
    </w:p>
    <w:p w14:paraId="07C089F7"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lastRenderedPageBreak/>
        <w:t>осы жоспар шеңберінде іс-қимылдың табысын анықтауға болатын индикаторларды (көрсеткіштерді) анықтау.</w:t>
      </w:r>
    </w:p>
    <w:p w14:paraId="00798D12"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Әрбір іс-қимыл бағыты бойынша бөлімше немесе тұтастай Корпорация қызметінің әртүрлі аспектілерін көрсететін тиісті индикаторлар белгіленеді:</w:t>
      </w:r>
    </w:p>
    <w:p w14:paraId="522591D4"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 қаржы;</w:t>
      </w:r>
    </w:p>
    <w:p w14:paraId="065844E4"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 адами;</w:t>
      </w:r>
    </w:p>
    <w:p w14:paraId="035799BA"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клиенттік жүйе;</w:t>
      </w:r>
    </w:p>
    <w:p w14:paraId="52B11F34"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 бизнес-процесінің;</w:t>
      </w:r>
    </w:p>
    <w:p w14:paraId="7006F54A"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жаңарту және даму.</w:t>
      </w:r>
    </w:p>
    <w:p w14:paraId="55FD0B32"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Басқа сөздермен айтқанда, Навигатор көрсетіп, әрбір бөлімше мен әрбір қызметкерге, яғни, жоспарлағанда, сол немесе өзге де нақты іс-әрекеттері, орынды ойластыру:</w:t>
      </w:r>
    </w:p>
    <w:p w14:paraId="67A36BFB"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қаржы тұрғысынан қандай салдарлар болады, олар бөлімше немесе жалпы компания жұмысының маңызды қаржылық көрсеткіштеріне қалай әсер етеді;</w:t>
      </w:r>
    </w:p>
    <w:p w14:paraId="03726ED4"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 қандай болады салдары тұрғысынан адами капитал, т. е. олар әкемнің жеке қызметкерлердің құзыреттілігін, олардың құрамы, мотивация және т. б;</w:t>
      </w:r>
    </w:p>
    <w:p w14:paraId="58126B0B"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бұл іс-әрекеттер клиенттерге қалай әсер етеді, олардың фирмаға бейімділігіне, жаңа клиенттердің жоспарланған іс-әрекеттері тартыла ма, жоқ па, жоқ па;</w:t>
      </w:r>
    </w:p>
    <w:p w14:paraId="55A16F65"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негізгі бизнес-процестер қалай өзгереді, олардың тиімділігі, олар клиенттер үшін неғұрлым икемді, ашық бола ма;</w:t>
      </w:r>
    </w:p>
    <w:p w14:paraId="2D3B4CD6"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жоспарланған іс-әрекеттер ретінде дамудың жалпы стратегиялық жоспарларына жазылады, олар не өзгертеді, қандай жаңа элементтер енгізуде және т. б.</w:t>
      </w:r>
    </w:p>
    <w:p w14:paraId="56FF6ABC"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Навигатордың негізгі ережелері білімді басқаруда пайдаланылатын жалпы тәсілдерге айтарлықтай сәйкес келетінін, сондай-ақ стратегиялық жоспарлау теориясының негізгі ережелеріне сүйенетінін көру қиын емес.</w:t>
      </w:r>
    </w:p>
    <w:p w14:paraId="1FAE8298"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Қаралған білімді басқару стратегиялары тек коммерциялық емес ұйымдарда ғана емес, коммерциялық емес ұйымдарда да тиімді пайдаланылуы мүмкін. Сонымен қатар, коммерциялық емес ұйымдардың едәуір бөлігі білімді басқаруға тікелей қатысы бар. Олардың қызметінің негізі білімді басқарудан тұрады. Олардың арасында мемлекеттік басқару органдары ерекше бөлінеді. Мұнда білімді басқарудың әлеуетті тиімділігі өте жоғары болуы мүмкін. Алайда білімді басқарудың бұл аспектісі отандық және әлемдік ғылыми әдебиетте әлі де аз әзірленген. Мемлекеттік басқару органдарында білімді басқару технологиялары да аз әзірленген.</w:t>
      </w:r>
    </w:p>
    <w:p w14:paraId="04D4C1F6"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Сонымен қатар, білім алушы ұйымның тұжырымдамасы мемлекеттік және муниципалдық басқару органдары үшін өте қолайлы. Атап айтқанда, жергілікті әкімшіліктерде өнімді өзара іс-қимылға және үздік тәжірибені қолдануға бағытталған білімді басқару жүйелері үлкен пайда әкелуі мүмкін. Зияткерлік капиталды бағалау әдістері мен білім менеджменті стратегиясы билік органдарының қызметінде табысты пайдаланылуы мүмкін. Алайда мемлекеттік және муниципалдық басқару саласындағы білім менеджментінің негізгі идеялары мен тәсілдерін қолдану мәселелері өз бетінше зерттеуді талап етеді.</w:t>
      </w:r>
    </w:p>
    <w:p w14:paraId="7121AB71"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Білімді басқару тұжырымдамасы тек коммерциялық емес, сонымен қатар мемлекеттік ұйымдар қызметінің тиімділігін арттыруға қабілетті. Коммерциялық ұйымдарда оң нәтижелер беретін білімді басқарудың көптеген тәсілдері мемлекеттік ұйымдар мен аймақтық басқару органдарында да қолданылады.</w:t>
      </w:r>
    </w:p>
    <w:p w14:paraId="33BB0D48"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Мысалы, мемлекеттік ұйымдар қызметкерлерінің жеке құзыретін арттыру-бұл ұйымдар жұмысының тиімділігі мен нәтижелілігін арттырудың қуатты резервтерінің бірі. Әдетте теорияда да, практикада да мемлекеттік ұйымдар қызметкерлерінің жеке құзыретін арттыруға стандартты тәсілдермен шектеледі. Бұл кадрларды іріктеу, бөлу, тәрбиелеу және оқытуды қамтитын іс-қимылдардың дәстүрлі жиынтығы. Білімді басқару тұжырымдамасы кадрлармен жұмыс жасаудың осы құрамдас бөліктерінің әрқайсысына жаңаша қарауға мүмкіндік береді.</w:t>
      </w:r>
    </w:p>
    <w:p w14:paraId="29F9471E"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Мысалы, оқыту аудиторияларда тұрақты оқыту нәтижесінде ғана емес, сонымен қатар жоспарланған ротация нәтижесінде, тікелей жұмыс орнында, клиенттермен қарым-қатынас жасау нәтижесінде де орын алуы мүмкін.</w:t>
      </w:r>
    </w:p>
    <w:p w14:paraId="5B2A1A12" w14:textId="77777777" w:rsidR="00EB259B" w:rsidRP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Бүгін оқытудың маңызды элементі - бұл жүйелік ойлау тәсілдеріне, мәселелерді бірлесіп шешу технологияларына оқыту.</w:t>
      </w:r>
    </w:p>
    <w:p w14:paraId="08C30187" w14:textId="4FD4C95F" w:rsid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r w:rsidRPr="00EB259B">
        <w:rPr>
          <w:rFonts w:ascii="Times New Roman" w:eastAsia="Times New Roman" w:hAnsi="Times New Roman" w:cs="Times New Roman"/>
          <w:snapToGrid w:val="0"/>
          <w:color w:val="000000"/>
          <w:sz w:val="20"/>
          <w:szCs w:val="20"/>
          <w:lang w:eastAsia="ru-RU"/>
        </w:rPr>
        <w:t>Көптеген ұйымдар үшін білім алмасуға бағытталған ұйымдастыру мәдениетін қалыптастыру аса өзекті болып табылады.</w:t>
      </w:r>
    </w:p>
    <w:p w14:paraId="313E2C23" w14:textId="77777777" w:rsidR="00EB259B" w:rsidRDefault="00EB259B" w:rsidP="00EB259B">
      <w:pPr>
        <w:spacing w:after="0" w:line="240" w:lineRule="auto"/>
        <w:ind w:firstLine="709"/>
        <w:jc w:val="both"/>
        <w:rPr>
          <w:rFonts w:ascii="Times New Roman" w:eastAsia="Times New Roman" w:hAnsi="Times New Roman" w:cs="Times New Roman"/>
          <w:snapToGrid w:val="0"/>
          <w:color w:val="000000"/>
          <w:sz w:val="20"/>
          <w:szCs w:val="20"/>
          <w:lang w:eastAsia="ru-RU"/>
        </w:rPr>
      </w:pPr>
    </w:p>
    <w:p w14:paraId="6E229693"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3FF781A2" w14:textId="77777777" w:rsidR="00EB259B" w:rsidRPr="00EB259B" w:rsidRDefault="00EB259B" w:rsidP="00EB259B">
      <w:pPr>
        <w:shd w:val="clear" w:color="auto" w:fill="FFFFFF"/>
        <w:spacing w:after="0" w:line="240" w:lineRule="auto"/>
        <w:ind w:firstLine="709"/>
        <w:jc w:val="both"/>
        <w:rPr>
          <w:rFonts w:ascii="Times New Roman" w:eastAsia="Times New Roman" w:hAnsi="Times New Roman" w:cs="Times New Roman"/>
          <w:b/>
          <w:iCs/>
          <w:sz w:val="20"/>
          <w:szCs w:val="20"/>
          <w:lang w:val="uk-UA" w:eastAsia="ru-RU"/>
        </w:rPr>
      </w:pPr>
      <w:r w:rsidRPr="00EB259B">
        <w:rPr>
          <w:rFonts w:ascii="Times New Roman" w:eastAsia="Times New Roman" w:hAnsi="Times New Roman" w:cs="Times New Roman"/>
          <w:b/>
          <w:iCs/>
          <w:sz w:val="20"/>
          <w:szCs w:val="20"/>
          <w:lang w:val="uk-UA" w:eastAsia="ru-RU"/>
        </w:rPr>
        <w:t>ВОПРОС 3. Выгоды  от стратегий УЗ.</w:t>
      </w:r>
    </w:p>
    <w:p w14:paraId="153503FD"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2DE6B61C"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u w:val="single"/>
          <w:lang w:eastAsia="ru-RU"/>
        </w:rPr>
      </w:pPr>
      <w:r w:rsidRPr="00EB259B">
        <w:rPr>
          <w:rFonts w:ascii="Times New Roman" w:eastAsia="Times New Roman" w:hAnsi="Times New Roman" w:cs="Times New Roman"/>
          <w:sz w:val="20"/>
          <w:szCs w:val="20"/>
          <w:lang w:eastAsia="ru-RU"/>
        </w:rPr>
        <w:t xml:space="preserve">Помимо заинтересованности руководства предприятия, в частности, в нахождении новых путей коммерциализации знаний повышение </w:t>
      </w:r>
      <w:r w:rsidRPr="00EB259B">
        <w:rPr>
          <w:rFonts w:ascii="Times New Roman" w:eastAsia="Times New Roman" w:hAnsi="Times New Roman" w:cs="Times New Roman"/>
          <w:sz w:val="20"/>
          <w:szCs w:val="20"/>
          <w:u w:val="single"/>
          <w:lang w:eastAsia="ru-RU"/>
        </w:rPr>
        <w:t xml:space="preserve">эффективности бизнеса при разработке и внедрении стратегии УЗ может влючать: </w:t>
      </w:r>
    </w:p>
    <w:p w14:paraId="06E528AA" w14:textId="77777777" w:rsidR="00EB259B" w:rsidRPr="00EB259B" w:rsidRDefault="00EB259B" w:rsidP="00EB259B">
      <w:pPr>
        <w:numPr>
          <w:ilvl w:val="0"/>
          <w:numId w:val="6"/>
        </w:numPr>
        <w:tabs>
          <w:tab w:val="num" w:pos="0"/>
          <w:tab w:val="left" w:pos="900"/>
        </w:tabs>
        <w:spacing w:after="0" w:line="240" w:lineRule="auto"/>
        <w:ind w:left="0" w:firstLine="540"/>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xml:space="preserve">минимизацию дублирования усилий и потери знаний при реструктуризации предприятия; </w:t>
      </w:r>
    </w:p>
    <w:p w14:paraId="2055C918" w14:textId="77777777" w:rsidR="00EB259B" w:rsidRPr="00EB259B" w:rsidRDefault="00EB259B" w:rsidP="00EB259B">
      <w:pPr>
        <w:numPr>
          <w:ilvl w:val="0"/>
          <w:numId w:val="6"/>
        </w:numPr>
        <w:tabs>
          <w:tab w:val="num" w:pos="0"/>
          <w:tab w:val="left" w:pos="900"/>
        </w:tabs>
        <w:spacing w:after="0" w:line="240" w:lineRule="auto"/>
        <w:ind w:left="0" w:firstLine="540"/>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xml:space="preserve">прояснение вопроса относительно того, каких необходимых навыков не хватает специалистам или какие требуются изменения в управлении; </w:t>
      </w:r>
    </w:p>
    <w:p w14:paraId="16104E33" w14:textId="77777777" w:rsidR="00EB259B" w:rsidRPr="00EB259B" w:rsidRDefault="00EB259B" w:rsidP="00EB259B">
      <w:pPr>
        <w:numPr>
          <w:ilvl w:val="0"/>
          <w:numId w:val="6"/>
        </w:numPr>
        <w:tabs>
          <w:tab w:val="num" w:pos="0"/>
          <w:tab w:val="left" w:pos="900"/>
        </w:tabs>
        <w:spacing w:after="0" w:line="240" w:lineRule="auto"/>
        <w:ind w:left="0" w:firstLine="540"/>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lastRenderedPageBreak/>
        <w:t xml:space="preserve">более тщательное планирование приоритетов при внедрении новых КМ-инициатив; </w:t>
      </w:r>
    </w:p>
    <w:p w14:paraId="0A94C203" w14:textId="77777777" w:rsidR="00EB259B" w:rsidRPr="00EB259B" w:rsidRDefault="00EB259B" w:rsidP="00EB259B">
      <w:pPr>
        <w:numPr>
          <w:ilvl w:val="0"/>
          <w:numId w:val="6"/>
        </w:numPr>
        <w:tabs>
          <w:tab w:val="num" w:pos="0"/>
          <w:tab w:val="left" w:pos="900"/>
        </w:tabs>
        <w:spacing w:after="0" w:line="240" w:lineRule="auto"/>
        <w:ind w:left="0" w:firstLine="540"/>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xml:space="preserve">улучшение связи между бизнес-стратегией и технологической инфраструктурой для обмена знаниями, их создания и повторного использования; </w:t>
      </w:r>
    </w:p>
    <w:p w14:paraId="07E3AB82" w14:textId="77777777" w:rsidR="00EB259B" w:rsidRPr="00EB259B" w:rsidRDefault="00EB259B" w:rsidP="00EB259B">
      <w:pPr>
        <w:numPr>
          <w:ilvl w:val="0"/>
          <w:numId w:val="6"/>
        </w:numPr>
        <w:tabs>
          <w:tab w:val="num" w:pos="0"/>
          <w:tab w:val="left" w:pos="900"/>
        </w:tabs>
        <w:spacing w:after="0" w:line="240" w:lineRule="auto"/>
        <w:ind w:left="0" w:firstLine="540"/>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xml:space="preserve">обучение персонала на опыте работы предприятия, мотивирование людей, привлечение новых трудовых ресурсов и предоставление специалистам условий для самореализации. </w:t>
      </w:r>
    </w:p>
    <w:p w14:paraId="44375977"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1A700FC3"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xml:space="preserve">Существует много вариантов документов, представляющих стратегию УЗ предприятия. Как правило, любая стратегия предполагает ответы на три ключевых вопроса: </w:t>
      </w:r>
    </w:p>
    <w:p w14:paraId="58196409"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xml:space="preserve">1)текущее состояние дел, </w:t>
      </w:r>
    </w:p>
    <w:p w14:paraId="611F8FF3"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xml:space="preserve">2)планы и перспективы развития предприятия, </w:t>
      </w:r>
    </w:p>
    <w:p w14:paraId="12E23F96"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xml:space="preserve">3)пути достижения поставленных целей. </w:t>
      </w:r>
    </w:p>
    <w:p w14:paraId="51BE6B7C"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Жоғарыда қарастырылған білімді басқару стратегиялары тиімді білім алмасуды жүзеге асыруға және тұтынушыларды қажетті атақтармен жабдықтауға мүмкіндік беретін ақпараттық жүйелерді қалыптастыру сияқты ұйымдардың жұмысын жетілдірудің осындай бағытын бөліп көрсетуге мүмкіндік береді.</w:t>
      </w:r>
    </w:p>
    <w:p w14:paraId="112E584E"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Жақын болашақта pricewaterhousecopers, McKinsey және т. б. сияқты консалтингтік компанияларда қалыптасқан ұқсас ұйымдарда қазіргі заманғы басқару технологияларын пайдаланудың үздік үлгілері туралы білім базасын құру туралы мәселені қоюға болады.</w:t>
      </w:r>
    </w:p>
    <w:p w14:paraId="39FE5D29"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6E48C9E7"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2-СҰРАҚ.УЗ стратегасын әзірлеу кезеңдері.</w:t>
      </w:r>
    </w:p>
    <w:p w14:paraId="7976A537"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57AD2A63"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293FF819"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Үшінші мыңжылдықтағы жұмыс орындарының жаңа түрлерінің көпшілігі көрінбейтін бәсекелестік негізінде білім экономикасы жағдайында құрылады. Кез келген бизнестің өмірлік күші — білімді басқару маңызының өсуімен кәсіпорын басшылары елеулі пайда алу үшін осы негізде неғұрлым қолайлы стратегияны қалай әзірлеп, енгізу керектігін білуі қажет.</w:t>
      </w:r>
    </w:p>
    <w:p w14:paraId="161DB2A6"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0C5B3C6F"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УЗ стратегиясын қалыптастыра отырып, кәсіпорын оқшауланған бірлік емес, өзіндік желіні құрайды — серіктестермен, клиенттермен және білімді құру және пайдалану процесіне қатысатын барлық адамдармен. Ұйымның өзінде білім құру оқытуға, тренингтерге үлкен инвестицияларды талап етеді, сонымен қатар кәсіби басқару құзыретін қалыптастыру үшін айтарлықтай уақыт қажет.</w:t>
      </w:r>
    </w:p>
    <w:p w14:paraId="232A35A8"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255944E0"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УЗ стратегиясын әзірлеу бизнеске көмектесе алатын жағдайлар (сарапшы, Дэвид Скирм</w:t>
      </w:r>
      <w:proofErr w:type="gramStart"/>
      <w:r w:rsidRPr="00EB259B">
        <w:rPr>
          <w:rFonts w:ascii="Times New Roman" w:eastAsia="Times New Roman" w:hAnsi="Times New Roman" w:cs="Times New Roman"/>
          <w:sz w:val="20"/>
          <w:szCs w:val="20"/>
          <w:lang w:eastAsia="ru-RU"/>
        </w:rPr>
        <w:t>)::</w:t>
      </w:r>
      <w:proofErr w:type="gramEnd"/>
    </w:p>
    <w:p w14:paraId="6CB40CDB"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компания мамандарының білімі мен дағдысы жоғары болғанда, бірақ жұмыс тиімділігі жеткіліксіз болғанда (мысалы, білімді формализациялау және қайта пайдалану нәтижесінде ірі украиндық машина жасау кәсіпорнында конструкторлар мен технологтар жұмысының тиімділігі өндірістік циклдарды қысқарту есебінен 30-40 есе өсті));</w:t>
      </w:r>
    </w:p>
    <w:p w14:paraId="525E1256"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--кәсіпорын стратегиясының негізгі құрамдас бөлігі ретінде білімді басқаруды бағалаудың бастапқы кезеңдерінде (белгілі украин ат — компаниясында ДС алғашқы бастамасы практиктер қауымдастығын құру болды-арнайы портал арқылы мамандар біліммен, идеялармен, инновациялармен алмасады, қажетті ақпаратты немесе сарапшыларды табады және т. б.);</w:t>
      </w:r>
    </w:p>
    <w:p w14:paraId="7DF252EB"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кәсіпорынның даму стратегиясын әзірлеудің немесе түзетудің жыл сайынғы процесі барысында;</w:t>
      </w:r>
    </w:p>
    <w:p w14:paraId="5463EDDE"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кәсіпорынның білімін бағалауды жүзеге асыру немесе білім мүкәммалын жасау кезінде;</w:t>
      </w:r>
    </w:p>
    <w:p w14:paraId="18A93817"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білімді басқару бойынша пилоттық жоба орындалғаннан кейін бірден;</w:t>
      </w:r>
    </w:p>
    <w:p w14:paraId="2ED9870C"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ДСБ бастамаларын енгізу бағдарламалары бойынша істердің жай-күйіне жыл сайын тәуелсіз шолу жасау үшін;</w:t>
      </w:r>
    </w:p>
    <w:p w14:paraId="6A1EB624"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бәсекелестер өз жұмысының тиімділігін жақсарту үшін білімді басқару стратегиясын енгізгенде.</w:t>
      </w:r>
    </w:p>
    <w:p w14:paraId="373E7AAA"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72F4A1B3"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Көп жағдайда мұндай стратегия ұйымның клиенттердің, персоналдың және басқа да мүдделі тұлғалардың игілігі үшін өз білімін қалай басқаруға болатынын сипаттайтын толық жоспарды еске салады.</w:t>
      </w:r>
    </w:p>
    <w:p w14:paraId="2DEC36FB"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5A0604D6"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ДБ стратегиясын әзірлеуге көптеген тәсілдер бар. Үлкен, Шағын және орта кәсіпорындар бизнестің негізгі мақсаттарымен байланыстыру негізінде ұйымда білімді басқаруды пайдалану жолдарын көрсететін құжаттардың өз нұсқаларын жасайды.</w:t>
      </w:r>
    </w:p>
    <w:p w14:paraId="33F474C9"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ДСБ стратегиясын әзірлеу кезеңдері:</w:t>
      </w:r>
    </w:p>
    <w:p w14:paraId="44312434"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2C46A8EC"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1) ұйымның мақсаттарын нақтылау. Бұл жерде негізгі мәселе: білімді басқару кәсіпорынға оның негізгі мақсаттарына қол жеткізуге не көмектесе алады (мысалы, шығындарды қысқарту, өнім шығару көлемін ұлғайту, клиенттерге қызмет көрсетуді жақсарту және т. б.)? Мұны ұйымның негізгі мамандарымен талқылау, бөлімдер мен бөлімшелердің немен айналысатынын тағы да талдау, іс — шаралар жоспарын әзірлеу және мақсаттарға қол жеткізуге әсер ететін ықтимал факторларды сипаттау, сондай-ақ басқаша не істеуге болатынын-жақсарту, жетілдіру және т. б. қарау қажет. Нәтижесінде кәсіпорынның мақсаттары мен негізгі "ауырсыну нүктелері", адамдардың қажеттіліктері мен проблемалары түсінікті болып келеді, сонымен қатар тәуекелдер талданады және жаңа мүмкіндіктер бар.</w:t>
      </w:r>
    </w:p>
    <w:p w14:paraId="2DCB2AE5"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66395FC4"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2)білім аудиті. Бұл кезең-ұйымдағы білімді басқару жағдайын елеулі зерттеу. Білім аудиті жауап беруі тиіс типтік сұрақтар келесідей.</w:t>
      </w:r>
    </w:p>
    <w:p w14:paraId="421BD478"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Ұйымның білімге деген қажеттілігі қандай?</w:t>
      </w:r>
    </w:p>
    <w:p w14:paraId="40B2D982"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Кәсіпорында қандай ресурстар немесе білім активтері бар және олар қайда?</w:t>
      </w:r>
    </w:p>
    <w:p w14:paraId="284F28DE"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Бұл білімде қандай" Бос орындар " бар?</w:t>
      </w:r>
    </w:p>
    <w:p w14:paraId="7FDFA1EA"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Кәсіпорында білім ағыны қалай ұйымдастырылды?</w:t>
      </w:r>
    </w:p>
    <w:p w14:paraId="415382F9"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Білім қозғалысы жолындағы кедергілер қандай?</w:t>
      </w:r>
    </w:p>
    <w:p w14:paraId="3BD452C3"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Қызметкерлер, процестер мен технологиялар білімнің ағымдағы жағдайын қандай деңгейде қолдайды?</w:t>
      </w:r>
    </w:p>
    <w:p w14:paraId="5B77E78B"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21FA9E22"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Білім аудиті кәсіпорынның білім мен мамандарға деген мұқтаждығын анықтауға, білім ағынын ұйымдастыруда кәсіпорынның күшті және әлсіз жақтарын, білімді жоғалтудың қауіптері мен тәуекелдерін, сондай-ақ білімді басқарудың тиімділігін арттырудың жаңа жолдарын анықтауға көмектеседі. Мұндай жұмыстың басты нәтижесі — зияткерлік активтерді пайдаланудың тиімділігі тұрғысынан ұйымдағы істердің жай-күйін сипаттау және таяу болашақта негізгі күш-жігердің немен шоғырлануы тиіс екендігін айқындау.</w:t>
      </w:r>
    </w:p>
    <w:p w14:paraId="269141A4"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2D8FE867"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Аудит нәтижелері бойынша адамдармен, процестермен және технологиялармен байланысты аспектілерді талқылау. Жақсы стратегия қысқа мерзімді және ұзақ мерзімді мақсаттар арасындағы тепе-теңдікті көрсетеді. Қысқа мерзімді жоспарлаудың артықшылығы-адамдар тез оң нәтижелерді көре алады, ал бұл одан әрі жұмысқа шабыттандырады. Сонымен қатар, ұйымдастыру мәдениетін тез өзгерту, қызметкерлерді жұмыста заманауи бағдарламалық қамтамасыз етуді пайдалану немесе қалыптасқан әдеттерді жылдар бойы өзгерту мүмкін емес. Өзгерістерді бірден жүзеге асыруға және ұзақ мерзімді мақсаттарды біртіндеп іске асыруға болатын бірнеше негізгі қағидаттарды атап өткен жөн.</w:t>
      </w:r>
    </w:p>
    <w:p w14:paraId="04D37743"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3F92EF86"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КМ қатысты өзгерістер жобаларын қолдайтын басшылық пен менеджерлерге " бұл маған не береді?". Білімді басқару стратегиясын енгізу кәсіпорындарда конференциялар, бөлімдерде немесе пәнаралық топтарда жиналыстар өткізуді білдіреді, тек білімді басқарудың жекелеген мамандарға ғана емес, сонымен қатар командаға да, жалпы кәсіпорынға берілетінін түсіндіру үшін.</w:t>
      </w:r>
    </w:p>
    <w:p w14:paraId="02FBCBA3"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10BFEB88"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Melcrum компаниясының зерттеулері бойынша қызметкерлердің 88% - ы кәсіпорынның стратегиясы туралы хабардарлығы тиімділікті арттыру жоспарында жұмыс нәтижелеріне тікелей әсер етті. Melcrum кеңесшілерінің айтуынша, "жақсы нәрселерді асықпауға болмайды".</w:t>
      </w:r>
    </w:p>
    <w:p w14:paraId="2DBB868B"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Стратегияны әзірлеудің мақсаты-компания алдында тұрған міндеттерді барлық жағынан мұқият бағалау, содан кейін оларды орындаушыларға жеткізу.</w:t>
      </w:r>
    </w:p>
    <w:p w14:paraId="0E254D94"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Hallmark компаниясының Корпоративтік коммуникациялар жөніндегі директоры Дин Роденбург көптеген қызметкерлер кәсіпорынның бастан кешіп жатқан бизнес-ортаның қысымына жақын таныс еместігін атап өтті. Кез келген жақсы стратегия, егер адамдар компания неге өзгеретінін және қандай нәтижелер әкелетінін түсінбесе, құлдырауы мүмкін. Мүмкін, сондықтан Батыс кәсіпорындарында "инновация, білімді басқару және әлеуметтік медиаинфрақұрылым саласындағы стратег"сияқты фантастикалық атаулары бар лауазымдар пайда болуы мүмкін.</w:t>
      </w:r>
    </w:p>
    <w:p w14:paraId="481DDA64"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0CAE1CF6" w14:textId="18634534" w:rsid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3) пилоттық жобаны әзірлеу және іске асыру. Жаңа ауқымды бастаманы бастамас бұрын, көптеген ұйымдар тест өткізеді. Іс жүзінде қандай да бір идея немесе бүкіл жоспар қалай жұмыс істейтінін білу үшін пайдаланушылардың шағын тобы таңдалады. Пилоттық жоба барысында туындаған қателер талданады және жоспарға өзгерістер енгізіледі. Мамандар жобаның бастапқы нұсқасында ескерілмеген жаңа идеяларды да ұсына алады. Мұндай оқыту өз артықшылықтары бар және мамандарға да, басшылыққа де пайдалы. Ең алдымен, қандай да бір нысанда КМ-нің кейбір пайдасын көрсетуге мүмкіндік береді (мысалы, кәсіпорынның жекелеген білім түрлерін коммерцияландыру, одан әрі іске асыру үшін инновациялық идеялар алу, білімді қайта пайдалану кезінде өндірістік циклдарды қысқарту және т.б.).</w:t>
      </w:r>
    </w:p>
    <w:p w14:paraId="4EC31F24"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ДС тратегиясын сипаттаудың шамамен егжей-тегжейлі схемасы:</w:t>
      </w:r>
    </w:p>
    <w:p w14:paraId="2E8E819E"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Аннотация-1-2 бет.</w:t>
      </w:r>
    </w:p>
    <w:p w14:paraId="2C0F6690"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Негіздеме-ұйымның өз КМ-стратегиясын пайымдау. Кәсіпорынның КМ-стратегиясын әзірлеу қажеттілігі пайда болатын жағдайдың сипаттамасы беріледі, сондай-ақ оны кең мағынада пайдалану үшін жалпы ережелер шығарылады.</w:t>
      </w:r>
    </w:p>
    <w:p w14:paraId="65DE65D2"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Білімді басқаруды анықтау. Бұл нақты ұйым үшін, КМ-стратегияның негізгі бизнес-мақсаттарға сәйкестігін білдіреді.</w:t>
      </w:r>
    </w:p>
    <w:p w14:paraId="1FF51C62"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Білімді басқарудың ағымдағы жағдайын сипаттау. Қазіргі уақытта не жасалып жатыр, білім алмасу және тарату үшін қандай кедергілер бар, болашақ прогресс қандай көрінеді?</w:t>
      </w:r>
    </w:p>
    <w:p w14:paraId="194E8F14"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Стейкхолдерлер күту және білім қажет. Ұйымның және стейкхолдерлердің негізгі ережелері кәсіпорын білімін басқару тиімділігін арттыру контексінде: қажетті зияткерлік ресурстардың сапасы мен қолжетімділігін бағалауды қоса алғанда, көшбасшылардың, персоналдың, қоғам мен мемлекеттің рөлі.</w:t>
      </w:r>
    </w:p>
    <w:p w14:paraId="75D3C3EF"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5810A793"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lastRenderedPageBreak/>
        <w:t>Стратегияны нақтылау:</w:t>
      </w:r>
    </w:p>
    <w:p w14:paraId="11F9A712"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осы стратегияны іске асыру үшін қажетті жобалар тізімі;</w:t>
      </w:r>
    </w:p>
    <w:p w14:paraId="318B09E6"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мәдени аспектілер мен адами факторды бағалау;</w:t>
      </w:r>
    </w:p>
    <w:p w14:paraId="3E078469"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адамның кәсіби және жеке қасиеттерінің сипаттамасы;</w:t>
      </w:r>
    </w:p>
    <w:p w14:paraId="416F9167"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уз стратегиясының технологиялық құрамдас бөлігін сипаттау;</w:t>
      </w:r>
    </w:p>
    <w:p w14:paraId="7029ED6A"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ДСБ жобаларын орындау үшін персонал сатып алу қажет қажетті дағдыларды көрсету;</w:t>
      </w:r>
    </w:p>
    <w:p w14:paraId="1385E2E9"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xml:space="preserve">осы Стратегияның жұмыс нәтижелерін (тиімділігін) өлшеу тәсілдері </w:t>
      </w:r>
      <w:r w:rsidRPr="00EB259B">
        <w:rPr>
          <w:rFonts w:ascii="Times New Roman" w:eastAsia="Times New Roman" w:hAnsi="Times New Roman" w:cs="Times New Roman"/>
          <w:sz w:val="20"/>
          <w:szCs w:val="20"/>
          <w:lang w:eastAsia="ru-RU"/>
        </w:rPr>
        <w:t></w:t>
      </w:r>
    </w:p>
    <w:p w14:paraId="125ED199"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5A9BA2F6"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Бизнес-жоспар: іс-әрекет жоспары, Мерзімі, ресурстары, бюджет.</w:t>
      </w:r>
    </w:p>
    <w:p w14:paraId="1FC7A30B"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Стратегияның ережелерін практикаға енгізу бойынша тұжырымдар мен ұсыныстар.</w:t>
      </w:r>
    </w:p>
    <w:p w14:paraId="48C69125"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Қосымшалар. Қосымшалар ретінде келесі құжаттар жиі қолданылады:</w:t>
      </w:r>
    </w:p>
    <w:p w14:paraId="04BB2278"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білімді басқару принциптерін сипаттайтын осы ұйымның тезаурус;</w:t>
      </w:r>
    </w:p>
    <w:p w14:paraId="1A2609E5"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кәсіпорын білімі аудитінің нәтижелері;</w:t>
      </w:r>
    </w:p>
    <w:p w14:paraId="405667CA"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осы стратегия шеңберінде білімді басқару бойынша барлық орындалған жобалардың немесе жеке бастамалардың аннотациясы және т. б.</w:t>
      </w:r>
    </w:p>
    <w:p w14:paraId="4DD882CE"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061EEB30"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4-СҰРАҚ. ДБ СТРАТЕГИЯЛАРЫНЫҢ СӘТСІЗДІГІНІҢ СЕБЕПТЕРІ</w:t>
      </w:r>
    </w:p>
    <w:p w14:paraId="6B313573"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59DC72A3"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ДБ бастамаларын іске асыру барысындағы ең көп таралған қателер:</w:t>
      </w:r>
    </w:p>
    <w:p w14:paraId="7926CCC6"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608AC7E8"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Кәсіпорынның топ-менеджментін қолдаудың болмауы. ДСБ тиімді енгізу бір ғана ақпараттық технологияларға қарағанда әлдеқайда көп талап етеді. Бірінші кезекте кәсіпорын басшыларынан басталатын корпоративтік мәдениеттегі өзгерістер қажет. Олар өз тәжірибесінде ДСж-ны алғашқы енгізуін бастауға тиіс.</w:t>
      </w:r>
    </w:p>
    <w:p w14:paraId="4723F269"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49178BE6"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Мүмкін болатын пайда мен шығындарды жете бағаламау. Бұл қанша тұрады және инвестицияға қайтару қандай? Бұл сұрақтар басында қою керек. Негізсіз күту, сондай-ақ жоба шығындарын бағалау үшін әдістемелердің болмауы да түңілудің себебі болуы мүмкін. Бұл талаптардың ақылға қонымды деңгейде болуына қарамастан, көптеген компаниялар осындай бағалауларды елемейді.</w:t>
      </w:r>
    </w:p>
    <w:p w14:paraId="275EC3A8"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7984DA58"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Сәйкес келмейтін технологиялық қолдау. Кеңесшілер кәсіпорындарға ДСБ жобаларына өз инвестицияларын, сондай-ақ тексерілген стандарттар мен БҚ негізінде қолдаушы ақпараттық технологияларды мұқият таңдау жолымен қорғауға кеңес береді.</w:t>
      </w:r>
    </w:p>
    <w:p w14:paraId="78B96BC2"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7C67F32D"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 xml:space="preserve">Жұмысты сапасыз жоспарлау және тиімділікті бағалаудың нақты критерийлерінің болмауы </w:t>
      </w:r>
      <w:r w:rsidRPr="00EB259B">
        <w:rPr>
          <w:rFonts w:ascii="Times New Roman" w:eastAsia="Times New Roman" w:hAnsi="Times New Roman" w:cs="Times New Roman"/>
          <w:sz w:val="20"/>
          <w:szCs w:val="20"/>
          <w:lang w:eastAsia="ru-RU"/>
        </w:rPr>
        <w:t> Бизнес-мақсаттарды айқындауды, инвестицияларға қайтаруды, технологиялық талаптарды, пилоттық жобаны әзірлеуді, нәтижелерді бағалауды қоса алғанда, жоспар тармақтарын және оны қамтамасыз ету жөніндегі барлық қажетті талаптарды айқындауға жеткілікті уақыт санын арнау ұсынылады.</w:t>
      </w:r>
    </w:p>
    <w:p w14:paraId="3AE8EF5F" w14:textId="77777777" w:rsidR="00EB259B" w:rsidRP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p>
    <w:p w14:paraId="33628CE5" w14:textId="1533EA41" w:rsidR="00EB259B" w:rsidRDefault="00EB259B" w:rsidP="00EB259B">
      <w:pPr>
        <w:spacing w:after="0" w:line="240" w:lineRule="auto"/>
        <w:ind w:firstLine="709"/>
        <w:jc w:val="both"/>
        <w:rPr>
          <w:rFonts w:ascii="Times New Roman" w:eastAsia="Times New Roman" w:hAnsi="Times New Roman" w:cs="Times New Roman"/>
          <w:sz w:val="20"/>
          <w:szCs w:val="20"/>
          <w:lang w:eastAsia="ru-RU"/>
        </w:rPr>
      </w:pPr>
      <w:r w:rsidRPr="00EB259B">
        <w:rPr>
          <w:rFonts w:ascii="Times New Roman" w:eastAsia="Times New Roman" w:hAnsi="Times New Roman" w:cs="Times New Roman"/>
          <w:sz w:val="20"/>
          <w:szCs w:val="20"/>
          <w:lang w:eastAsia="ru-RU"/>
        </w:rPr>
        <w:t>УЗ Свейби, Д. Скирма, Дж. Робертсон кәсіпорынның ДСБ стратегиясын әзірлеудің басқа да көптеген нұсқалары бар. Бұған кәсіпорындарға білімді басқару және өзгерістерді жүзеге асыру бойынша қызмет көрсететін ондаған Батыс консалтингтік компаниялар мамандандырылады. Іс жүзінде әрбір жағдайда жұмыс бизнестің негізгі бағыттары бойынша ұйымның ағымдағы жағдайын диагностикалаудан басталады.</w:t>
      </w:r>
      <w:bookmarkStart w:id="0" w:name="_GoBack"/>
      <w:bookmarkEnd w:id="0"/>
    </w:p>
    <w:sectPr w:rsidR="00EB259B">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538750" w14:textId="77777777" w:rsidR="00BF2438" w:rsidRDefault="00BF2438" w:rsidP="00EB259B">
      <w:pPr>
        <w:spacing w:after="0" w:line="240" w:lineRule="auto"/>
      </w:pPr>
      <w:r>
        <w:separator/>
      </w:r>
    </w:p>
  </w:endnote>
  <w:endnote w:type="continuationSeparator" w:id="0">
    <w:p w14:paraId="26F9AF6B" w14:textId="77777777" w:rsidR="00BF2438" w:rsidRDefault="00BF2438" w:rsidP="00EB25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63AB2A" w14:textId="77777777" w:rsidR="00BF2438" w:rsidRDefault="00BF2438" w:rsidP="00EB259B">
      <w:pPr>
        <w:spacing w:after="0" w:line="240" w:lineRule="auto"/>
      </w:pPr>
      <w:r>
        <w:separator/>
      </w:r>
    </w:p>
  </w:footnote>
  <w:footnote w:type="continuationSeparator" w:id="0">
    <w:p w14:paraId="12347994" w14:textId="77777777" w:rsidR="00BF2438" w:rsidRDefault="00BF2438" w:rsidP="00EB259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F151E6"/>
    <w:multiLevelType w:val="hybridMultilevel"/>
    <w:tmpl w:val="574ECCAA"/>
    <w:lvl w:ilvl="0" w:tplc="EA9E5574">
      <w:start w:val="1"/>
      <w:numFmt w:val="bullet"/>
      <w:lvlText w:val=""/>
      <w:lvlJc w:val="left"/>
      <w:pPr>
        <w:tabs>
          <w:tab w:val="num" w:pos="1069"/>
        </w:tabs>
        <w:ind w:left="1069" w:hanging="360"/>
      </w:pPr>
      <w:rPr>
        <w:rFonts w:ascii="Symbol" w:hAnsi="Symbol"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1" w15:restartNumberingAfterBreak="0">
    <w:nsid w:val="131A0E8C"/>
    <w:multiLevelType w:val="hybridMultilevel"/>
    <w:tmpl w:val="8F8C93E2"/>
    <w:lvl w:ilvl="0" w:tplc="0419000B">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 w15:restartNumberingAfterBreak="0">
    <w:nsid w:val="190208FC"/>
    <w:multiLevelType w:val="singleLevel"/>
    <w:tmpl w:val="0419000F"/>
    <w:lvl w:ilvl="0">
      <w:start w:val="1"/>
      <w:numFmt w:val="decimal"/>
      <w:lvlText w:val="%1."/>
      <w:lvlJc w:val="left"/>
      <w:pPr>
        <w:tabs>
          <w:tab w:val="num" w:pos="360"/>
        </w:tabs>
        <w:ind w:left="360" w:hanging="360"/>
      </w:pPr>
    </w:lvl>
  </w:abstractNum>
  <w:abstractNum w:abstractNumId="3" w15:restartNumberingAfterBreak="0">
    <w:nsid w:val="29A43CB4"/>
    <w:multiLevelType w:val="singleLevel"/>
    <w:tmpl w:val="0419000D"/>
    <w:lvl w:ilvl="0">
      <w:start w:val="1"/>
      <w:numFmt w:val="bullet"/>
      <w:lvlText w:val=""/>
      <w:lvlJc w:val="left"/>
      <w:pPr>
        <w:tabs>
          <w:tab w:val="num" w:pos="360"/>
        </w:tabs>
        <w:ind w:left="360" w:hanging="360"/>
      </w:pPr>
      <w:rPr>
        <w:rFonts w:ascii="Wingdings" w:hAnsi="Wingdings" w:hint="default"/>
      </w:rPr>
    </w:lvl>
  </w:abstractNum>
  <w:abstractNum w:abstractNumId="4" w15:restartNumberingAfterBreak="0">
    <w:nsid w:val="3437509D"/>
    <w:multiLevelType w:val="hybridMultilevel"/>
    <w:tmpl w:val="C0946694"/>
    <w:lvl w:ilvl="0" w:tplc="04190011">
      <w:start w:val="1"/>
      <w:numFmt w:val="decimal"/>
      <w:lvlText w:val="%1)"/>
      <w:lvlJc w:val="left"/>
      <w:pPr>
        <w:tabs>
          <w:tab w:val="num" w:pos="1429"/>
        </w:tabs>
        <w:ind w:left="1429" w:hanging="360"/>
      </w:p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5" w15:restartNumberingAfterBreak="0">
    <w:nsid w:val="3A6F7E90"/>
    <w:multiLevelType w:val="singleLevel"/>
    <w:tmpl w:val="0419000D"/>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418A0E39"/>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540D4907"/>
    <w:multiLevelType w:val="hybridMultilevel"/>
    <w:tmpl w:val="9572DA1A"/>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8" w15:restartNumberingAfterBreak="0">
    <w:nsid w:val="5FE21FFB"/>
    <w:multiLevelType w:val="singleLevel"/>
    <w:tmpl w:val="0419000D"/>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21C0AE2"/>
    <w:multiLevelType w:val="hybridMultilevel"/>
    <w:tmpl w:val="50C65450"/>
    <w:lvl w:ilvl="0" w:tplc="0419000D">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0" w15:restartNumberingAfterBreak="0">
    <w:nsid w:val="6F874CC1"/>
    <w:multiLevelType w:val="hybridMultilevel"/>
    <w:tmpl w:val="ABB2391E"/>
    <w:lvl w:ilvl="0" w:tplc="0419000B">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num w:numId="1">
    <w:abstractNumId w:val="6"/>
  </w:num>
  <w:num w:numId="2">
    <w:abstractNumId w:val="8"/>
  </w:num>
  <w:num w:numId="3">
    <w:abstractNumId w:val="3"/>
  </w:num>
  <w:num w:numId="4">
    <w:abstractNumId w:val="2"/>
  </w:num>
  <w:num w:numId="5">
    <w:abstractNumId w:val="5"/>
  </w:num>
  <w:num w:numId="6">
    <w:abstractNumId w:val="4"/>
  </w:num>
  <w:num w:numId="7">
    <w:abstractNumId w:val="10"/>
  </w:num>
  <w:num w:numId="8">
    <w:abstractNumId w:val="7"/>
  </w:num>
  <w:num w:numId="9">
    <w:abstractNumId w:val="0"/>
  </w:num>
  <w:num w:numId="10">
    <w:abstractNumId w:val="1"/>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65A"/>
    <w:rsid w:val="00A50ED9"/>
    <w:rsid w:val="00BF2438"/>
    <w:rsid w:val="00D1765A"/>
    <w:rsid w:val="00EB25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FF2E9"/>
  <w15:chartTrackingRefBased/>
  <w15:docId w15:val="{9078D79A-C105-4292-9FA3-0D20BC664C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EB259B"/>
    <w:pPr>
      <w:spacing w:after="0" w:line="240" w:lineRule="auto"/>
    </w:pPr>
    <w:rPr>
      <w:sz w:val="20"/>
      <w:szCs w:val="20"/>
    </w:rPr>
  </w:style>
  <w:style w:type="character" w:customStyle="1" w:styleId="a4">
    <w:name w:val="Текст сноски Знак"/>
    <w:basedOn w:val="a0"/>
    <w:link w:val="a3"/>
    <w:uiPriority w:val="99"/>
    <w:semiHidden/>
    <w:rsid w:val="00EB259B"/>
    <w:rPr>
      <w:sz w:val="20"/>
      <w:szCs w:val="20"/>
    </w:rPr>
  </w:style>
  <w:style w:type="character" w:styleId="a5">
    <w:name w:val="footnote reference"/>
    <w:semiHidden/>
    <w:rsid w:val="00EB259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12</Pages>
  <Words>8627</Words>
  <Characters>49178</Characters>
  <Application>Microsoft Office Word</Application>
  <DocSecurity>0</DocSecurity>
  <Lines>409</Lines>
  <Paragraphs>115</Paragraphs>
  <ScaleCrop>false</ScaleCrop>
  <Company/>
  <LinksUpToDate>false</LinksUpToDate>
  <CharactersWithSpaces>57690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2020-03-30T16:17:00Z</dcterms:created>
  <dcterms:modified xsi:type="dcterms:W3CDTF">2020-03-30T16:25:00Z</dcterms:modified>
</cp:coreProperties>
</file>