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1DA1D"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Тақырып 1 зияткерлік капитал: мәні, құрылымы, бағалау</w:t>
      </w:r>
    </w:p>
    <w:p w14:paraId="7169510A"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1. Зияткерлік капиталдың құрылымы</w:t>
      </w:r>
    </w:p>
    <w:p w14:paraId="7056E9E9"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2. Физикалық және зияткерлік капиталдың айырмашылықтары</w:t>
      </w:r>
    </w:p>
    <w:p w14:paraId="51588475"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3. Зияткерлік капиталды бағалау</w:t>
      </w:r>
    </w:p>
    <w:p w14:paraId="4BDE5D3C"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4. Зияткерлік меншікті басқару.</w:t>
      </w:r>
    </w:p>
    <w:p w14:paraId="2CABB3BE"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p>
    <w:p w14:paraId="521B5DE8"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1. Зияткерлік капиталдың құрылымы</w:t>
      </w:r>
    </w:p>
    <w:p w14:paraId="7EEE7DF8"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Соңғы уақытта әлемдік экономикалық әдебиетте "зияткерлік капитал" ұғымы кеңінен қолданылады. Бұл термин әлі орныққан жоқ, онымен қатар ұқсас терминдер қолданылады: "материалдық емес активтер", "зияткерлік әлеует", "білім активтері" және т. б.</w:t>
      </w:r>
    </w:p>
    <w:p w14:paraId="1E639A7E"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Зияткерлік КАПИТАЛ-бұл байлық жасау үшін пайдалануға болатын білім, ақпарат, тәжірибе, ұйымдастыру мүмкіндіктері, ақпараттық арналар. Зияткерлік капитал-бұл құнға айырбасталуы мүмкін Білім, басқаша айтқанда, бұл қызметкерлердің не біледі және не біледі және ұйымның бәсекеге қабілеттілігін не қалыптастырады. Зияткерлік капиталды дәл анықтау қиын және тиімді қолдану қиын.</w:t>
      </w:r>
    </w:p>
    <w:p w14:paraId="6E2A8FF0"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Бүгінгі күннің компаниялары өткен компаниялардың, ең алдымен капиталдың жаңа құрылымымен ерекшеленеді. Бүгінгі күні материалдық қорлар емес, бұл капиталды негізгі қорлар емес, ақпарат, Білім (зияткерлік капитал) анықтайды.</w:t>
      </w:r>
    </w:p>
    <w:p w14:paraId="71E0E4EB"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Дәстүрлі компания қызметінің негізін компания иелерінің меншігіндегі негізгі қорлар жиынтығы құрайды. Бұл иелері олардың сақталуына жауапты болады және оларды іске асыру үшін қызметкерлерді жалдайды. Қазіргі компания, ең алдымен, материалдық нысаны жоқ зияткерлік капитал және оның белгілі бір бөлігі толығымен иесіне тиесілі емес.</w:t>
      </w:r>
    </w:p>
    <w:p w14:paraId="5BBAF997"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Скандия сақтандыру компаниясы зияткерлік капитал тұжырымдамасын тәжірибеде қолданған және оның жеке құрамдастарын өлшеуге әрекет жасаған алғашқы ұйымдардың бірі болды. 1996 жылдан бастап, өзінің жылдық есебінде ол өзінің зияткерлік капиталын білдіреді.</w:t>
      </w:r>
    </w:p>
    <w:p w14:paraId="2F05F730"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Зияткерлік капиталдың негізгі құрамдастарының осы көрінісі және осы терминология ары қарай зияткерлік капиталды қалыптастыру және пайдалану мәселелеріне арналған ғылыми әдебиетте өте кең тараған. Зияткерлік капиталдың негізгі құрамдастарының бұл классификациясы қазіргі интеллектуалдық капиталдың теориясының негізін қалаушылардың бірі Т. Стюарттың іргелі еңбектерінде қолданылған.</w:t>
      </w:r>
    </w:p>
    <w:p w14:paraId="12E8C468"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Бұл ретте Скандияның жіктеуіндегі ұйымдық және тұтынушылық капитал құрылымдық капитал деп аталатын бір түрге біріктіріледі.</w:t>
      </w:r>
    </w:p>
    <w:p w14:paraId="06C386B4"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lastRenderedPageBreak/>
        <w:t>Компаниядағы зияткерлік капиталдың шамасы компания құнының нарықтық бағасы мен оның физикалық активтерінің арасындағы айырмашылық ретінде айқындалады.</w:t>
      </w:r>
    </w:p>
    <w:p w14:paraId="16134E5B"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Адам капиталы-адамға тікелей қатысы бар зияткерлік капиталдың бөлігі. Бұл білім, практикалық дағдылар, адамдардың шығармашылық және ойлау қабілеттері, олардың моральдық құндылықтары, еңбек мәдениеті. Адами капитал инновациялар мен кез келген жаңартуды жүргізу кезінде маңызды.</w:t>
      </w:r>
    </w:p>
    <w:p w14:paraId="7DB1BDEA"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Ұйымдық капитал-жалпы ұйымға қатысы бар зияткерлік капиталдың бөлігі. Бұл рәсімдер, технологиялар, басқару жүйелері, техникалық және бағдарламалық қамтамасыз ету, ұйымдастыру құрылымы, патенттер, брэндтер, ұйым мәдениеті, клиенттермен қарым-қатынас. Ұйымдастыру капиталы-бұл фирманың нарық талаптарына жауап берудің ұйымдастырушылық мүмкіндіктері. Ол адам капиталы ақпаратты түрлендіре отырып, ұйымдастыру жүйелерінде қалай пайдаланылатынына жауап береді. Ұйымдастыру капиталы көбінесе компанияның меншігі болып табылады және салыстырмалы түрде дербес сатып алу–сату объектісі болуы мүмкін.</w:t>
      </w:r>
    </w:p>
    <w:p w14:paraId="26CFB771"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Тұтынушылық немесе клиенттік капитал-бұл клиенттер мен тұтынушылармен байланыстан және тұрақты қатынастардан құралатын капитал. Тұтынушы капиталын қалыптастырудың басты мақсаттарының бірі – тұтынушыға компания персоналымен нәтижелі қарым-қатынас жасауға мүмкіндік беретін құрылым құру.</w:t>
      </w:r>
    </w:p>
    <w:p w14:paraId="09BD203A"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 xml:space="preserve">Бірқатар авторлар зияткерлік капитал құрамының бірнеше өзге жіктемесін, оны ішкі және сыртқы құрылымға, сондай-ақ персонал құзыретіне бөлу арқылы </w:t>
      </w:r>
      <w:proofErr w:type="gramStart"/>
      <w:r w:rsidRPr="0055547A">
        <w:rPr>
          <w:rFonts w:ascii="Times New Roman" w:eastAsia="Times New Roman" w:hAnsi="Times New Roman" w:cs="Times New Roman"/>
          <w:sz w:val="28"/>
          <w:szCs w:val="20"/>
          <w:lang w:eastAsia="ru-RU"/>
        </w:rPr>
        <w:t>пайдаланады .</w:t>
      </w:r>
      <w:proofErr w:type="gramEnd"/>
      <w:r w:rsidRPr="0055547A">
        <w:rPr>
          <w:rFonts w:ascii="Times New Roman" w:eastAsia="Times New Roman" w:hAnsi="Times New Roman" w:cs="Times New Roman"/>
          <w:sz w:val="28"/>
          <w:szCs w:val="20"/>
          <w:lang w:eastAsia="ru-RU"/>
        </w:rPr>
        <w:t xml:space="preserve"> Бұл ретте зияткерлік капиталдың құрылымын анықтаудың осы тәсілдері арасында нақты сәйкестік бар. Ұйымдастыру капиталына ішкі құрылым, тұтыну капиталына – сыртқы құрылым, ал адами капиталға – персоналдың құзыреті сәйкес келеді. Осы терминдердің нақты толтырылуы келесідей:</w:t>
      </w:r>
    </w:p>
    <w:p w14:paraId="378A110F"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Қызметкерлердің құзыреттілігі-бұл әр түрлі жағдайларда әрекет ету қабілеті, білім, біліктілік, білік және дағды, тәжірибе, энергия, жұмысқа, клиенттерге қарым-қатынас, жалпы мәдениет деңгейі.</w:t>
      </w:r>
    </w:p>
    <w:p w14:paraId="46BD4AEF"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Ішкі құрылымдар-бұл патенттер, тұжырымдамалар, ноу-хау, авторлық құқықтар, компьютерлік және әкімшілік жүйелер, желілік өзара іс-қимыл жүйесі, ұйымдастыру құрылымы, ұйым мәдениеті.</w:t>
      </w:r>
    </w:p>
    <w:p w14:paraId="66F08E89"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Сыртқы құрылымдар-бұл тұтынушылармен, жеткізушілермен, бәсекелестермен, жергілікті қоғамдастықтармен, брэндтермен, сауда маркаларымен, ұйымның имиджімен қарым-қатынас.</w:t>
      </w:r>
    </w:p>
    <w:p w14:paraId="35990433"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Зияткерлік капиталдың негізгі үш түрі арасындағы шекаралар шартты сипатта болады. Зияткерлік капиталдың кейбір элементтерін оның әртүрлі түрлеріне тең құқықпен жатқызуға болады. Сонымен қатар, зияткерлік капиталдың белгілі бір түріне қатысты элементтер бар.</w:t>
      </w:r>
    </w:p>
    <w:p w14:paraId="4A42D79E"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lastRenderedPageBreak/>
        <w:t xml:space="preserve">Адам капиталы экономикалық әдебиетте толық сипатталған. Сонымен қатар, адам капиталының проблемаларын әзірлегені үшін экономика бойынша Нобель сыйлығы берілді (Теодор Шульц 1979 </w:t>
      </w:r>
      <w:proofErr w:type="gramStart"/>
      <w:r w:rsidRPr="0055547A">
        <w:rPr>
          <w:rFonts w:ascii="Times New Roman" w:eastAsia="Times New Roman" w:hAnsi="Times New Roman" w:cs="Times New Roman"/>
          <w:sz w:val="28"/>
          <w:szCs w:val="20"/>
          <w:lang w:eastAsia="ru-RU"/>
        </w:rPr>
        <w:t>ж.және</w:t>
      </w:r>
      <w:proofErr w:type="gramEnd"/>
      <w:r w:rsidRPr="0055547A">
        <w:rPr>
          <w:rFonts w:ascii="Times New Roman" w:eastAsia="Times New Roman" w:hAnsi="Times New Roman" w:cs="Times New Roman"/>
          <w:sz w:val="28"/>
          <w:szCs w:val="20"/>
          <w:lang w:eastAsia="ru-RU"/>
        </w:rPr>
        <w:t xml:space="preserve"> Гэри Беккер 1992 ж.).</w:t>
      </w:r>
    </w:p>
    <w:p w14:paraId="01569FFE"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Адам капиталы деп әдетте әрбір адам бар білім, дағды мен мотивация жиынтығы түсініледі. Адами капиталға инвестиция білім беруді арттыру, кәсіби тәжірибені, жеке байланыстарды жинақтау, денсаулықты жақсарту, мобильділік, ақпарат массивін меңгеру болуы мүмкін.</w:t>
      </w:r>
    </w:p>
    <w:p w14:paraId="734493B5"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Ұйым өзінің адами капиталын қалай пайдаланатындығына олардың табысы ғана емес, бәсекелестіктің қатаң жағдайларында өмір сүру қабілеті де байланысты. Жалпы алғанда, зияткерлік капитал туралы да айтуға болады.</w:t>
      </w:r>
    </w:p>
    <w:p w14:paraId="28E38F0D" w14:textId="77777777" w:rsidR="0055547A" w:rsidRP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Бұған қазіргі заманғы тәжірибе дәлел. Адам капиталын тасымалдаушы-мамандардың жаппай құлауы мұндай мөлшерге жетті, бұл дауларды сотта қарау фактілері белгілі. Америкалық Wall Mart сауда компаниясы сотқа берді Amazon.com оны мамандардың қаскөйлігін айыптайды.</w:t>
      </w:r>
    </w:p>
    <w:p w14:paraId="67429568" w14:textId="3CF3B453" w:rsidR="0055547A" w:rsidRDefault="0055547A" w:rsidP="0055547A">
      <w:pPr>
        <w:spacing w:before="120" w:after="0" w:line="240" w:lineRule="auto"/>
        <w:ind w:firstLine="720"/>
        <w:jc w:val="both"/>
        <w:rPr>
          <w:rFonts w:ascii="Times New Roman" w:eastAsia="Times New Roman" w:hAnsi="Times New Roman" w:cs="Times New Roman"/>
          <w:sz w:val="28"/>
          <w:szCs w:val="20"/>
          <w:lang w:eastAsia="ru-RU"/>
        </w:rPr>
      </w:pPr>
      <w:r w:rsidRPr="0055547A">
        <w:rPr>
          <w:rFonts w:ascii="Times New Roman" w:eastAsia="Times New Roman" w:hAnsi="Times New Roman" w:cs="Times New Roman"/>
          <w:sz w:val="28"/>
          <w:szCs w:val="20"/>
          <w:lang w:eastAsia="ru-RU"/>
        </w:rPr>
        <w:t xml:space="preserve">Ресейде Гута-банк </w:t>
      </w:r>
      <w:proofErr w:type="gramStart"/>
      <w:r w:rsidRPr="0055547A">
        <w:rPr>
          <w:rFonts w:ascii="Times New Roman" w:eastAsia="Times New Roman" w:hAnsi="Times New Roman" w:cs="Times New Roman"/>
          <w:sz w:val="28"/>
          <w:szCs w:val="20"/>
          <w:lang w:eastAsia="ru-RU"/>
        </w:rPr>
        <w:t>Интернет Трейдинг</w:t>
      </w:r>
      <w:proofErr w:type="gramEnd"/>
      <w:r w:rsidRPr="0055547A">
        <w:rPr>
          <w:rFonts w:ascii="Times New Roman" w:eastAsia="Times New Roman" w:hAnsi="Times New Roman" w:cs="Times New Roman"/>
          <w:sz w:val="28"/>
          <w:szCs w:val="20"/>
          <w:lang w:eastAsia="ru-RU"/>
        </w:rPr>
        <w:t xml:space="preserve"> жүйесін құрған бірінші болды. 2000 ж. Наурызда Альфа-банк бәсекелес банктің осы алдыңғы қатарлы бөлімшесінің қызметкерлеріне үздік шарттар ұсынды. Мамандар (әзірлеушілер, менеджерлер), сондай-ақ клиенттермен тікелей жұмыс істегендер Альфа-Банкке көшті. Нәтижесінде Гута-банкте осы бағыттың дамуы </w:t>
      </w:r>
      <w:proofErr w:type="gramStart"/>
      <w:r w:rsidRPr="0055547A">
        <w:rPr>
          <w:rFonts w:ascii="Times New Roman" w:eastAsia="Times New Roman" w:hAnsi="Times New Roman" w:cs="Times New Roman"/>
          <w:sz w:val="28"/>
          <w:szCs w:val="20"/>
          <w:lang w:eastAsia="ru-RU"/>
        </w:rPr>
        <w:t>баяулады ,ал</w:t>
      </w:r>
      <w:proofErr w:type="gramEnd"/>
      <w:r w:rsidRPr="0055547A">
        <w:rPr>
          <w:rFonts w:ascii="Times New Roman" w:eastAsia="Times New Roman" w:hAnsi="Times New Roman" w:cs="Times New Roman"/>
          <w:sz w:val="28"/>
          <w:szCs w:val="20"/>
          <w:lang w:eastAsia="ru-RU"/>
        </w:rPr>
        <w:t xml:space="preserve"> бәсекелес мамандардың жақсы командасын алды.</w:t>
      </w:r>
    </w:p>
    <w:p w14:paraId="65089C43"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bookmarkStart w:id="0" w:name="_Ref491066265"/>
      <w:r w:rsidRPr="0055547A">
        <w:rPr>
          <w:rFonts w:ascii="Times New Roman" w:eastAsia="Times New Roman" w:hAnsi="Times New Roman" w:cs="Times New Roman"/>
          <w:spacing w:val="2"/>
          <w:sz w:val="28"/>
          <w:szCs w:val="20"/>
          <w:lang w:eastAsia="ru-RU"/>
        </w:rPr>
        <w:t>Ұқсас жағдайлар көп. Олардың барлығы бәсекелестіктің әдістері бүгінде зияткерлік капиталға белсенді әсер ететінін куәландырады. Атап айтқанда, бәсекелестікте фирманың адам капиталын толық игере алмайтындығы қолданылады. Мұндай капиталды адамдар – оның тасымалдаушылары едәуір дәрежеде иеленеді.</w:t>
      </w:r>
    </w:p>
    <w:p w14:paraId="165F93DA"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Соңғы жылдары адами капиталмен қатар зияткерлік капиталдың басқа бөлігі – компания немесе ұйым иеленетін және бақылайтын ұйымдық капитал жеткілікті түрде зерттеледі.</w:t>
      </w:r>
    </w:p>
    <w:p w14:paraId="6BB7E00B"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2. Физикалық және зияткерлік капиталдың айырмашылықтары</w:t>
      </w:r>
    </w:p>
    <w:p w14:paraId="081AFBA3"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 көп жағдайда физикалық капиталмен ұқсас. Екі капитал да тауарлар мен қызметтерді өндіру үшін ресурстарды (ақша, материалдық құралдар, білім, біліктілік) салу нәтижесі ретінде туындайды.</w:t>
      </w:r>
    </w:p>
    <w:p w14:paraId="0E34569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Екі капитал да өз иесіне табыс әкеледі. Екі капитал да моральдық тозуға ұшырайды, сонымен қатар зияткерлік капитал да көп дәрежеде (бағдарламалық қамтамасыз ету да, кез келген білім де құнсызданады).</w:t>
      </w:r>
    </w:p>
    <w:p w14:paraId="08EA7F14"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Екеуі де "жөндеуді" қажет етеді, яғни өзін қолдауға шығындарды талап етеді. Сонымен бірге олардың арасында айырмашылықтар да байқалады.</w:t>
      </w:r>
    </w:p>
    <w:p w14:paraId="2719D9CA"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капиталдың материалдық табиғаты бар, оны ұстауға, қорғауға, көруге болады. Зияткерлік капитал материалдық емес табиғатқа ие, сондықтан оны кейде көрінбейтін актив деп атайды.</w:t>
      </w:r>
    </w:p>
    <w:p w14:paraId="25C4E4B7"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капитал-бұл өткендегі белгілі бір әрекеттердің нәтижесі. Зияткерлік капитал сондай-ақ өткен инвестициялардың нәтижесі болып табылады, бірақ сонымен бірге ол болашақта бағдарланады.</w:t>
      </w:r>
    </w:p>
    <w:p w14:paraId="0D86FB27"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капиталды бағалаудың негізі жасалған шығындар болып табылады. Зияткерлік капиталды бағалау үшін негіз-оны болашақ пайдалануды бағалау негізінде қалыптасатын құн.</w:t>
      </w:r>
    </w:p>
    <w:p w14:paraId="0E5DC344"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капитал көбінесе құндық көрсеткіштердің көмегімен бағаланады, ал зияткерлік капитал – құндық және қатаңдық көрсеткіштердің көмегімен бағаланады.</w:t>
      </w:r>
    </w:p>
    <w:p w14:paraId="3E18AEB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капитал үшін бұл баға мерзімді сипатқа ие, ал зияткерлік – үздіксіз.</w:t>
      </w:r>
    </w:p>
    <w:p w14:paraId="53F47ADA"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Материалдық емес активтер тек материалдық (ең алдымен қаржылық) ғана емес, сонымен қатар бәсекеге қабілеттілік, қызметкерлердің жоғары құзыреті, маркетингтік мүмкіндіктер, ұйымның имиджі, қызметкерлердің біліктілігі және т. б. түрінде материалдық емес нәтижелер береді.</w:t>
      </w:r>
    </w:p>
    <w:p w14:paraId="6519D024"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Компаниялар мен ұйымдар зияткерлік капиталды толық иеленбейді. Олар оларға жалдамалы қызметкерлермен бірге (егер сөз адам капиталы туралы болса) және тұтынушылармен және басқа да контрагенттермен бірге (егер сөз тұтынушылық капитал туралы болса) иелік етеді.</w:t>
      </w:r>
    </w:p>
    <w:p w14:paraId="2A52D1D7"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Зияткерлік капитал аддитивті емес. Оны бағалау сомасы ұйымның барлық зияткерлік капиталының жалпы бағалауына тең болатындай етіп құрауыштарға бөлуге болмайды.</w:t>
      </w:r>
    </w:p>
    <w:p w14:paraId="4648FA0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p>
    <w:p w14:paraId="78ABA41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Әр түрлі құрамдастардың өзара әрекеттесуі сызықсыз сипатқа ие. Мысалы, адам компоненті әрқашан таза емес, қуатты зияткерлік капиталды қалыптастыру үшін жеткілікті. Бұл үшін қызметкерлердің жоғары құзыреттілігі тиісті ұйымдастыру құрылымы, Ақпараттық технологиялар, басқарушылық рәсімдер және т. б. түрінде құрылымдық капиталдың тиісті элементтерімен толықтыру қажет.</w:t>
      </w:r>
    </w:p>
    <w:p w14:paraId="6BC4161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Адами, ұйымдастырушылық және тұтынушылық капитал бір-бірімен өзара іс-қимыл жасайды. Олардың әрқайсысына жеке инвестиция салу жеткіліксіз. Олар синергетикалық әсер жасай отырып, бір-бірін қолдауы керек, содан кейін активтердің бір түрлерінің басқаларына тоғыспалы әсері болады. Мысалы, сыртқы құрылым мәртебені нығайтып, жаңа тұтынушыларды сатып алуға ықпал етуі мүмкін. Білім трансфері арқылы ішкі құрылым ұйымның адам факторына тәуелділігін төмендетеді. Қызметкерлердің құзыреті жаңа идеялар мен жаңа жобаларды әзірлеуге ықпал етеді. Тұтынушылық (клиенттік капитал) құрылымдық және адами капиталмен өзара іс-қимыл жасау арқылы қаржылық капиталға айналады.</w:t>
      </w:r>
    </w:p>
    <w:p w14:paraId="5C909905"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және зияткерлік капиталдың айырмашылықтары кестеде көрсетілген. 2.</w:t>
      </w:r>
    </w:p>
    <w:p w14:paraId="324B29DC"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2-кесте. Физикалық және зияткерлік капиталдың айырмашылықтары</w:t>
      </w:r>
    </w:p>
    <w:p w14:paraId="0891BCFC"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Физикалық Зияткерлік</w:t>
      </w:r>
    </w:p>
    <w:p w14:paraId="5A0BBDC7"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Материалдық табиғат материалдық емес табиғат</w:t>
      </w:r>
    </w:p>
    <w:p w14:paraId="0F7C57E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Өткен іс-әрекеттің нәтижесі болашақта іс-әрекетті бағалау</w:t>
      </w:r>
    </w:p>
    <w:p w14:paraId="3045263D"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Шығындар бойынша Бағалау құны бойынша бағалау</w:t>
      </w:r>
    </w:p>
    <w:p w14:paraId="67D8CC8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Аддитивный Неаддитивный</w:t>
      </w:r>
    </w:p>
    <w:p w14:paraId="032B0CC5"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Негізінен қаржылық бағалау құндық және қатаңдықты бағалардың комбинациясы</w:t>
      </w:r>
    </w:p>
    <w:p w14:paraId="25959E1C"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Үздіксіз негізде мерзімді бағалау</w:t>
      </w:r>
    </w:p>
    <w:p w14:paraId="77DF6905"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Ұйым иеленетін барлық капиталды Ұйымдастыру капиталды тек ішінара ғана</w:t>
      </w:r>
    </w:p>
    <w:p w14:paraId="50CCD54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p>
    <w:p w14:paraId="5D1F1DB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3. Зияткерлік капиталды бағалау</w:t>
      </w:r>
    </w:p>
    <w:p w14:paraId="0DC411A2"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капиталдың шамасын интегралдық құндық бағалау үшін Тобин коэффициенті қолданылады. Компанияның нарықтық бағасының оның нақты активтерін (ғимараттарды, құрылыстарды, жабдықтар мен қорларды) ауыстыру бағасына қатынасы осы арақатынасты алғаш рет зерттеген американдық экономистің тегі бойынша Тобин коэффициенті деп аталады. Компанияның нарықтық бағасы оны басқа компания нақты сатып алған кезде ғана анық көрінеді.</w:t>
      </w:r>
    </w:p>
    <w:p w14:paraId="0F71F850" w14:textId="3D558EB2" w:rsid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Бірнеше мысалдарды қарастырайық. 1988 жылы Филип Моррис компаниясы Крафт фирмасын 12,9 млрд. Сонымен қатар осы фирмаға тиесілі ғимараттардың, құрылыстар мен қорлардың бағасы тек 1,3 млрд. ал бағаның қалған бөлігі (11,6 млрд.) сауда маркасының, байланыстардың, маркетингтік мүмкіндіктерінің, 51 000 қызметкердің біліктілігінің бағасын құрады. Осылайша, компания бағасындағы материалдық емес бөлік 90% - ды құрады.</w:t>
      </w:r>
    </w:p>
    <w:p w14:paraId="6A15C965"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Бүгін көптеген компаниялар үшін Тобин коэффициентінің мәні 5-тен 10-ға дейін ауытқиды. Ғылымды қажет ететін фирмалар үшін бұл коэффициент одан да көп. Мәселен, 1995 жылы IBM компаниясы оған 3,5 млрд. оның материалдық активтері 230 млн АҚШ долл. бағаланды., Тобыл коэффициенті 15,2-ге жетті. Бағдарламалық қамтамасыз ету және Интернет технологиялар саласында жұмыс істейтін жекелеген компаниялар үшін Тобин коэффициенті бірнеше жүздікке жетуі мүмкін. Бұл аталған компанияларда материалдық капитал құнды жасауға іс жүзінде қатыспайды, </w:t>
      </w:r>
      <w:r w:rsidRPr="0055547A">
        <w:rPr>
          <w:rFonts w:ascii="Times New Roman" w:eastAsia="Times New Roman" w:hAnsi="Times New Roman" w:cs="Times New Roman"/>
          <w:spacing w:val="2"/>
          <w:sz w:val="28"/>
          <w:szCs w:val="20"/>
          <w:lang w:eastAsia="ru-RU"/>
        </w:rPr>
        <w:lastRenderedPageBreak/>
        <w:t>ондағы басты өндірістік фактор – зияткерлік капитал. Орта есеппен 1960-70 жылдары Тобин коэффициенті аз өзгерді, 1 және 2 шамалары арасында ауытқи бастады. 1980 жылдардың басынан бастап осы коэффициенттің күрт өсуі байқалады, ол XXI ғасырдың басына қарай 6-7-ға жетті. Бұл ретте жоғары технологиялық және басқа да ғылымды қажетсінетін компанияларда оның орташа мөлшері 15-20-дан асты.</w:t>
      </w:r>
    </w:p>
    <w:p w14:paraId="60DC2379"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Осылайша сатып алушы негізінен физикалық емес, материалдық емес активтерді (оның персоналының талантын, оның басқару жүйелерінің, менеджментінің тиімділігін) сатып алады.</w:t>
      </w:r>
    </w:p>
    <w:p w14:paraId="7849B57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капиталды қаржылық көрсеткіштер арқылы ғана емес бағалауға болады. Қаржылық емес бағалау ұйымның бәсекеге қабілеттілігін, сондай-ақ осы бәсекеге қабілеттілік факторларын талдау мақсатында жүргізіледі. Оларды сыртқы және ішкі тұтынушылар (персоналдан бастап және инвесторлар мен акционерлермен аяқталатын) пайдалана алады. Бұл бағалар стратегияны, ұйымның дамуындағы ұзақ мерзімді трендтерді анықтау кезінде ескеріледі. Белгілі болғандай, зияткерлік капитал дербес құндылық болып қана қоймай, ол капиталдың басқа түрлеріне қатысты мультипликативті әсерді туындатады, оларды пайдалану тиімділігінің деңгейіне әсер етеді.</w:t>
      </w:r>
    </w:p>
    <w:p w14:paraId="3EC4892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Ernst &amp; Young "Measures that Matter" консалтингтік фирмасының зерттеуінде қор нарығында инвесторлардың жіті назарында болатын 8 фактор келтірілген:</w:t>
      </w:r>
    </w:p>
    <w:p w14:paraId="14CD6F43"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Менеджмент сапасы.</w:t>
      </w:r>
    </w:p>
    <w:p w14:paraId="283220A1"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Өнімді жетілдіру нәтижелілігі.</w:t>
      </w:r>
    </w:p>
    <w:p w14:paraId="261A785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Маркетингтік позицияның күші.</w:t>
      </w:r>
    </w:p>
    <w:p w14:paraId="608654E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Корпоративтік мәдениет: талантты адамдарды тарту қабілеті, еңбекке ақы төлеу жүйесінің сапасы, персоналдың тұрақтамауы, персоналдың дағдылары, тренингтер мен білім беру.</w:t>
      </w:r>
    </w:p>
    <w:p w14:paraId="1C73F27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 xml:space="preserve">Жоғары менеджментке қатысты еңбекақы төлеу саясаты </w:t>
      </w:r>
      <w:r w:rsidRPr="0055547A">
        <w:rPr>
          <w:rFonts w:ascii="Times New Roman" w:eastAsia="Times New Roman" w:hAnsi="Times New Roman" w:cs="Times New Roman"/>
          <w:spacing w:val="2"/>
          <w:sz w:val="28"/>
          <w:szCs w:val="20"/>
          <w:lang w:eastAsia="ru-RU"/>
        </w:rPr>
        <w:t></w:t>
      </w:r>
    </w:p>
    <w:p w14:paraId="2729A33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Инвесторлармен байланыс сапасы </w:t>
      </w:r>
      <w:r w:rsidRPr="0055547A">
        <w:rPr>
          <w:rFonts w:ascii="Times New Roman" w:eastAsia="Times New Roman" w:hAnsi="Times New Roman" w:cs="Times New Roman"/>
          <w:spacing w:val="2"/>
          <w:sz w:val="28"/>
          <w:szCs w:val="20"/>
          <w:lang w:eastAsia="ru-RU"/>
        </w:rPr>
        <w:t></w:t>
      </w:r>
    </w:p>
    <w:p w14:paraId="036627C2"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Өнімдер мен қызметтердің сапасы.</w:t>
      </w:r>
    </w:p>
    <w:p w14:paraId="010FDD4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Клиенттердің қажеттіліктерін қанағаттандыру.</w:t>
      </w:r>
    </w:p>
    <w:p w14:paraId="58A79453"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Бұл факторлар, өз кезегінде, 39 неғұрлым егжей-тегжейлі көрсеткіште өрістетіледі. Атап айтқанда, корпоративтік мәдениет талантты адамдарды тарту қабілеті, еңбекке ақы төлеу жүйесінің сапасы, персоналдың </w:t>
      </w:r>
      <w:proofErr w:type="gramStart"/>
      <w:r w:rsidRPr="0055547A">
        <w:rPr>
          <w:rFonts w:ascii="Times New Roman" w:eastAsia="Times New Roman" w:hAnsi="Times New Roman" w:cs="Times New Roman"/>
          <w:spacing w:val="2"/>
          <w:sz w:val="28"/>
          <w:szCs w:val="20"/>
          <w:lang w:eastAsia="ru-RU"/>
        </w:rPr>
        <w:t>тұрақтамауы,персоналдың</w:t>
      </w:r>
      <w:proofErr w:type="gramEnd"/>
      <w:r w:rsidRPr="0055547A">
        <w:rPr>
          <w:rFonts w:ascii="Times New Roman" w:eastAsia="Times New Roman" w:hAnsi="Times New Roman" w:cs="Times New Roman"/>
          <w:spacing w:val="2"/>
          <w:sz w:val="28"/>
          <w:szCs w:val="20"/>
          <w:lang w:eastAsia="ru-RU"/>
        </w:rPr>
        <w:t xml:space="preserve"> дағдылары, тренингтер мен білім беру сияқты индикаторлармен бағаланады.</w:t>
      </w:r>
    </w:p>
    <w:p w14:paraId="2FF2173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Ұсынылған 8 фактор инвесторлардың стандартты қаржылық құжаттарда орын таба алмайтын көрсеткіштерге қызығушылығын көрсетеді, бірақ сонымен бірге компаниялар қызметінің маңызды жақтарын көрсетеді. Осылайша, зияткерлік капиталды корпоративішілік менеджмент контексінде ғана емес, қор нарығын дамыту проблемалары шеңберінде де қарастыруға болады.</w:t>
      </w:r>
    </w:p>
    <w:p w14:paraId="7571368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Адам капиталын (жеке құзыреттілік) бағалау үшін келесі көрсеткіштерді пайдалануға болады:</w:t>
      </w:r>
    </w:p>
    <w:p w14:paraId="1344BC12"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Ұйымның адами ресурстарының құрамы және оларды басқару </w:t>
      </w:r>
      <w:r w:rsidRPr="0055547A">
        <w:rPr>
          <w:rFonts w:ascii="Times New Roman" w:eastAsia="Times New Roman" w:hAnsi="Times New Roman" w:cs="Times New Roman"/>
          <w:spacing w:val="2"/>
          <w:sz w:val="28"/>
          <w:szCs w:val="20"/>
          <w:lang w:eastAsia="ru-RU"/>
        </w:rPr>
        <w:t></w:t>
      </w:r>
    </w:p>
    <w:p w14:paraId="4EEFC3D9"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Персоналдың қанағаттану дәрежесі </w:t>
      </w:r>
      <w:r w:rsidRPr="0055547A">
        <w:rPr>
          <w:rFonts w:ascii="Times New Roman" w:eastAsia="Times New Roman" w:hAnsi="Times New Roman" w:cs="Times New Roman"/>
          <w:spacing w:val="2"/>
          <w:sz w:val="28"/>
          <w:szCs w:val="20"/>
          <w:lang w:eastAsia="ru-RU"/>
        </w:rPr>
        <w:t></w:t>
      </w:r>
    </w:p>
    <w:p w14:paraId="5F39365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Әрбір жұмыс істейтін адамға есептегенде, оның ішінде әкімшілікте сату.</w:t>
      </w:r>
    </w:p>
    <w:p w14:paraId="30E6B7F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Бір бос емес, оның ішінде әкімшілікте есепте қосылған құн.</w:t>
      </w:r>
    </w:p>
    <w:p w14:paraId="1E2D65F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Персоналдың білімі </w:t>
      </w:r>
      <w:r w:rsidRPr="0055547A">
        <w:rPr>
          <w:rFonts w:ascii="Times New Roman" w:eastAsia="Times New Roman" w:hAnsi="Times New Roman" w:cs="Times New Roman"/>
          <w:spacing w:val="2"/>
          <w:sz w:val="28"/>
          <w:szCs w:val="20"/>
          <w:lang w:eastAsia="ru-RU"/>
        </w:rPr>
        <w:t></w:t>
      </w:r>
    </w:p>
    <w:p w14:paraId="4EAC79C9"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Қызметкерлер тәжірибесі, осы мамандық шеңберіндегі жылдар саны </w:t>
      </w:r>
      <w:r w:rsidRPr="0055547A">
        <w:rPr>
          <w:rFonts w:ascii="Times New Roman" w:eastAsia="Times New Roman" w:hAnsi="Times New Roman" w:cs="Times New Roman"/>
          <w:spacing w:val="2"/>
          <w:sz w:val="28"/>
          <w:szCs w:val="20"/>
          <w:lang w:eastAsia="ru-RU"/>
        </w:rPr>
        <w:t></w:t>
      </w:r>
    </w:p>
    <w:p w14:paraId="49C8E671"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Бір адамға шаққанда оқуға арналған шығындар.</w:t>
      </w:r>
    </w:p>
    <w:p w14:paraId="3B3D4F6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Қызметкерлердің біліктілігін арттыруға жұмсалған бір жылдағы жұмыс күндерінің саны </w:t>
      </w:r>
      <w:r w:rsidRPr="0055547A">
        <w:rPr>
          <w:rFonts w:ascii="Times New Roman" w:eastAsia="Times New Roman" w:hAnsi="Times New Roman" w:cs="Times New Roman"/>
          <w:spacing w:val="2"/>
          <w:sz w:val="28"/>
          <w:szCs w:val="20"/>
          <w:lang w:eastAsia="ru-RU"/>
        </w:rPr>
        <w:t></w:t>
      </w:r>
    </w:p>
    <w:p w14:paraId="3A1BC76F"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Персоналдың тұрақтамауы.</w:t>
      </w:r>
    </w:p>
    <w:p w14:paraId="56BEBCD2"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p>
    <w:p w14:paraId="6E5EB9C6"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Сыртқы құрылымдарды бағалайтын көрсеткіштерге мыналарды жатқызуға </w:t>
      </w:r>
      <w:proofErr w:type="gramStart"/>
      <w:r w:rsidRPr="0055547A">
        <w:rPr>
          <w:rFonts w:ascii="Times New Roman" w:eastAsia="Times New Roman" w:hAnsi="Times New Roman" w:cs="Times New Roman"/>
          <w:spacing w:val="2"/>
          <w:sz w:val="28"/>
          <w:szCs w:val="20"/>
          <w:lang w:eastAsia="ru-RU"/>
        </w:rPr>
        <w:t>болады::</w:t>
      </w:r>
      <w:proofErr w:type="gramEnd"/>
    </w:p>
    <w:p w14:paraId="4309D9F0"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Клиенттердің құрамы, клиенттермен өзара әрекеттесу тәсілдері және олардың қажеттіліктерін қанағаттандыру дәрежесі </w:t>
      </w:r>
      <w:r w:rsidRPr="0055547A">
        <w:rPr>
          <w:rFonts w:ascii="Times New Roman" w:eastAsia="Times New Roman" w:hAnsi="Times New Roman" w:cs="Times New Roman"/>
          <w:spacing w:val="2"/>
          <w:sz w:val="28"/>
          <w:szCs w:val="20"/>
          <w:lang w:eastAsia="ru-RU"/>
        </w:rPr>
        <w:t></w:t>
      </w:r>
    </w:p>
    <w:p w14:paraId="6BFAB383"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Клиент есебінде пайда </w:t>
      </w:r>
      <w:r w:rsidRPr="0055547A">
        <w:rPr>
          <w:rFonts w:ascii="Times New Roman" w:eastAsia="Times New Roman" w:hAnsi="Times New Roman" w:cs="Times New Roman"/>
          <w:spacing w:val="2"/>
          <w:sz w:val="28"/>
          <w:szCs w:val="20"/>
          <w:lang w:eastAsia="ru-RU"/>
        </w:rPr>
        <w:t></w:t>
      </w:r>
    </w:p>
    <w:p w14:paraId="0BC594F1"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Бір клиентке есептегенде сату.</w:t>
      </w:r>
    </w:p>
    <w:p w14:paraId="35EF87D7"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Ұйымның имиджін қалыптастыратын клиенттер.</w:t>
      </w:r>
    </w:p>
    <w:p w14:paraId="413B15FA"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Клиенттердің саны, олардың жас құрылымы (қанша уақыт олар ұйымның клиенттері болып табылады).</w:t>
      </w:r>
    </w:p>
    <w:p w14:paraId="12C6ED9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Тапсырыстардың қайталануы.</w:t>
      </w:r>
    </w:p>
    <w:p w14:paraId="7496790C"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Ішкі құрылымдарды келесі көрсеткіштер арқылы бағалауға болады:</w:t>
      </w:r>
    </w:p>
    <w:p w14:paraId="4BAEB97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Ақпараттық жүйелердің ауқымы, функциялары және қолданылуы.</w:t>
      </w:r>
    </w:p>
    <w:p w14:paraId="090E110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Әкімшілік жүйелер мен ұйымдастыру құрылымдарының құрамы, жабдықтары және тиімділігі.</w:t>
      </w:r>
    </w:p>
    <w:p w14:paraId="7BB00A9D"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Инвестициялар:</w:t>
      </w:r>
    </w:p>
    <w:p w14:paraId="2B941768"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жаңа филиалдарға және басқарудың жаңа әдістеріне. Бұл инвестициялар әдетте шығындар ретінде қарастырылады. Алайда олар үнемі талданып, жыл сайынғы тиісті құжаттарда көрсетілуі тиіс. Бұл инвестицияларды сатудан үлес түрінде немесе қосылған құннан үлес түрінде ұсыну керек.</w:t>
      </w:r>
    </w:p>
    <w:p w14:paraId="6B52B9AF"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ҒЗТКЖ </w:t>
      </w:r>
      <w:r w:rsidRPr="0055547A">
        <w:rPr>
          <w:rFonts w:ascii="Times New Roman" w:eastAsia="Times New Roman" w:hAnsi="Times New Roman" w:cs="Times New Roman"/>
          <w:spacing w:val="2"/>
          <w:sz w:val="28"/>
          <w:szCs w:val="20"/>
          <w:lang w:eastAsia="ru-RU"/>
        </w:rPr>
        <w:t> да;</w:t>
      </w:r>
    </w:p>
    <w:p w14:paraId="5FAA64A9"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ақпараттық жүйелерге, тұтастай алғанда ұйым шеңберінде ақпараттық технологияларға қолжетімділікті қамтамасыз ету. Сондай-ақ, бір адамға шаққанда компьютерлер санының көрсеткішін қолдануға болады.</w:t>
      </w:r>
    </w:p>
    <w:p w14:paraId="26E48B6D"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lastRenderedPageBreak/>
        <w:t>Құндылықтар, қатынастар және т. б.</w:t>
      </w:r>
    </w:p>
    <w:p w14:paraId="28C59AE2"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Ұйымның тұрақтылығы, оның жасы, басқарушы персоналдың тұрақтамауы, осы ұйымда екі жылдан кем жұмыс өтілі бар персоналдың үлесі </w:t>
      </w:r>
      <w:r w:rsidRPr="0055547A">
        <w:rPr>
          <w:rFonts w:ascii="Times New Roman" w:eastAsia="Times New Roman" w:hAnsi="Times New Roman" w:cs="Times New Roman"/>
          <w:spacing w:val="2"/>
          <w:sz w:val="28"/>
          <w:szCs w:val="20"/>
          <w:lang w:eastAsia="ru-RU"/>
        </w:rPr>
        <w:t></w:t>
      </w:r>
    </w:p>
    <w:p w14:paraId="3FD3921D"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Бағалаудың барлық түрлерін келесідей бөлуге </w:t>
      </w:r>
      <w:proofErr w:type="gramStart"/>
      <w:r w:rsidRPr="0055547A">
        <w:rPr>
          <w:rFonts w:ascii="Times New Roman" w:eastAsia="Times New Roman" w:hAnsi="Times New Roman" w:cs="Times New Roman"/>
          <w:spacing w:val="2"/>
          <w:sz w:val="28"/>
          <w:szCs w:val="20"/>
          <w:lang w:eastAsia="ru-RU"/>
        </w:rPr>
        <w:t>болады::</w:t>
      </w:r>
      <w:proofErr w:type="gramEnd"/>
    </w:p>
    <w:p w14:paraId="32993D59"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 xml:space="preserve">Қандай да бір капиталдың құрамы-адами, клиенттік, құрылымдық </w:t>
      </w:r>
      <w:r w:rsidRPr="0055547A">
        <w:rPr>
          <w:rFonts w:ascii="Times New Roman" w:eastAsia="Times New Roman" w:hAnsi="Times New Roman" w:cs="Times New Roman"/>
          <w:spacing w:val="2"/>
          <w:sz w:val="28"/>
          <w:szCs w:val="20"/>
          <w:lang w:eastAsia="ru-RU"/>
        </w:rPr>
        <w:t></w:t>
      </w:r>
    </w:p>
    <w:p w14:paraId="3BD35EDE"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Қандай да бір капиталға қатысты әкімшілік қабылдайтын шаралар.</w:t>
      </w:r>
    </w:p>
    <w:p w14:paraId="36EB34D4"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Осы әрекеттердің нәтижесінде алынған нәтиже.</w:t>
      </w:r>
    </w:p>
    <w:p w14:paraId="78567C1C"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капиталды өлшеу процесінде негізгі екпін ұйымның бәсекеге қабілеттілігінің тұрақты өсуіне және оны капиталдандыруға қол жеткізуге мүмкіндік беретін көрсеткіштерге жасалады.</w:t>
      </w:r>
    </w:p>
    <w:p w14:paraId="28E428DF" w14:textId="77777777"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капиталды бағалаудың басты мақсаты-ұйымның тұрақты дамуын қамтамасыз ету. Зияткерлік капитал болашақ өсу үшін негіз болып табылады. Сондықтан оны бағалау ұйымның ұзақ мерзімді стратегиясын үнемі өзгеріп отыратын сыртқы жағдайда қалыптастыруға көмектеседі және коммуникация құралы ретінде пайдаланылады.</w:t>
      </w:r>
    </w:p>
    <w:p w14:paraId="1650256C" w14:textId="5400BFAA" w:rsidR="0055547A" w:rsidRPr="0055547A" w:rsidRDefault="0055547A" w:rsidP="0055547A">
      <w:pPr>
        <w:spacing w:before="120" w:after="0" w:line="360" w:lineRule="auto"/>
        <w:ind w:firstLine="720"/>
        <w:jc w:val="both"/>
        <w:rPr>
          <w:rFonts w:ascii="Times New Roman" w:eastAsia="Times New Roman" w:hAnsi="Times New Roman" w:cs="Times New Roman"/>
          <w:spacing w:val="2"/>
          <w:sz w:val="28"/>
          <w:szCs w:val="20"/>
          <w:lang w:eastAsia="ru-RU"/>
        </w:rPr>
      </w:pPr>
      <w:r w:rsidRPr="0055547A">
        <w:rPr>
          <w:rFonts w:ascii="Times New Roman" w:eastAsia="Times New Roman" w:hAnsi="Times New Roman" w:cs="Times New Roman"/>
          <w:spacing w:val="2"/>
          <w:sz w:val="28"/>
          <w:szCs w:val="20"/>
          <w:lang w:eastAsia="ru-RU"/>
        </w:rPr>
        <w:t>Зияткерлік капитал компаниялардың, өңірлер мен елдердің экономикалық өсуінің жетекші факторына айналғанына қарамастан, дәстүрлі Экономикалық теория мен басқару практикасы еңбектің физикалық активтері мен материалдық өнімдеріне басты назар аударуды жалғастыруда. Фирмалар мен ұйымдарды дамытудың жаңа тәсілдері зияткерлік капиталға басқарушылық әсер ету екпінін ауыстыруды, жаңа тәсілдер мен әдістерді және олардың ішінде білім менеджментін қолдануды талап етеді.</w:t>
      </w:r>
      <w:bookmarkStart w:id="1" w:name="_GoBack"/>
      <w:bookmarkEnd w:id="1"/>
    </w:p>
    <w:bookmarkEnd w:id="0"/>
    <w:p w14:paraId="2A217F1E" w14:textId="77777777" w:rsidR="00A50ED9" w:rsidRDefault="00A50ED9"/>
    <w:p w14:paraId="6C599C61" w14:textId="77777777" w:rsidR="0055547A" w:rsidRDefault="0055547A"/>
    <w:sectPr w:rsidR="0055547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C18A50" w14:textId="77777777" w:rsidR="00DC067D" w:rsidRDefault="00DC067D" w:rsidP="0055547A">
      <w:pPr>
        <w:spacing w:after="0" w:line="240" w:lineRule="auto"/>
      </w:pPr>
      <w:r>
        <w:separator/>
      </w:r>
    </w:p>
  </w:endnote>
  <w:endnote w:type="continuationSeparator" w:id="0">
    <w:p w14:paraId="50DC3295" w14:textId="77777777" w:rsidR="00DC067D" w:rsidRDefault="00DC067D" w:rsidP="005554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CEBBE9" w14:textId="77777777" w:rsidR="00DC067D" w:rsidRDefault="00DC067D" w:rsidP="0055547A">
      <w:pPr>
        <w:spacing w:after="0" w:line="240" w:lineRule="auto"/>
      </w:pPr>
      <w:r>
        <w:separator/>
      </w:r>
    </w:p>
  </w:footnote>
  <w:footnote w:type="continuationSeparator" w:id="0">
    <w:p w14:paraId="1A3FB845" w14:textId="77777777" w:rsidR="00DC067D" w:rsidRDefault="00DC067D" w:rsidP="0055547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2559B"/>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1" w15:restartNumberingAfterBreak="0">
    <w:nsid w:val="4CD42F5B"/>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6CB53B54"/>
    <w:multiLevelType w:val="singleLevel"/>
    <w:tmpl w:val="0419000D"/>
    <w:lvl w:ilvl="0">
      <w:start w:val="1"/>
      <w:numFmt w:val="bullet"/>
      <w:lvlText w:val=""/>
      <w:lvlJc w:val="left"/>
      <w:pPr>
        <w:tabs>
          <w:tab w:val="num" w:pos="360"/>
        </w:tabs>
        <w:ind w:left="360" w:hanging="360"/>
      </w:pPr>
      <w:rPr>
        <w:rFonts w:ascii="Wingdings" w:hAnsi="Wingdings" w:hint="default"/>
      </w:rPr>
    </w:lvl>
  </w:abstractNum>
  <w:abstractNum w:abstractNumId="3" w15:restartNumberingAfterBreak="0">
    <w:nsid w:val="79795C54"/>
    <w:multiLevelType w:val="singleLevel"/>
    <w:tmpl w:val="0419000D"/>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111D"/>
    <w:rsid w:val="0015111D"/>
    <w:rsid w:val="0055547A"/>
    <w:rsid w:val="00A50ED9"/>
    <w:rsid w:val="00DC067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8E5A2C"/>
  <w15:chartTrackingRefBased/>
  <w15:docId w15:val="{A0C607EB-F7E6-41FD-AC38-75F5A3498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55547A"/>
    <w:pPr>
      <w:spacing w:after="0" w:line="240" w:lineRule="auto"/>
    </w:pPr>
    <w:rPr>
      <w:sz w:val="20"/>
      <w:szCs w:val="20"/>
    </w:rPr>
  </w:style>
  <w:style w:type="character" w:customStyle="1" w:styleId="a4">
    <w:name w:val="Текст сноски Знак"/>
    <w:basedOn w:val="a0"/>
    <w:link w:val="a3"/>
    <w:uiPriority w:val="99"/>
    <w:semiHidden/>
    <w:rsid w:val="0055547A"/>
    <w:rPr>
      <w:sz w:val="20"/>
      <w:szCs w:val="20"/>
    </w:rPr>
  </w:style>
  <w:style w:type="character" w:styleId="a5">
    <w:name w:val="footnote reference"/>
    <w:semiHidden/>
    <w:rsid w:val="0055547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2523</Words>
  <Characters>14387</Characters>
  <Application>Microsoft Office Word</Application>
  <DocSecurity>0</DocSecurity>
  <Lines>119</Lines>
  <Paragraphs>33</Paragraphs>
  <ScaleCrop>false</ScaleCrop>
  <Company/>
  <LinksUpToDate>false</LinksUpToDate>
  <CharactersWithSpaces>16877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2020-03-30T15:45:00Z</dcterms:created>
  <dcterms:modified xsi:type="dcterms:W3CDTF">2020-03-30T15:49:00Z</dcterms:modified>
</cp:coreProperties>
</file>