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B79E50" w14:textId="77777777" w:rsidR="00DE35EB" w:rsidRPr="00A14F15" w:rsidRDefault="00DE35EB" w:rsidP="00DE35EB">
      <w:pPr>
        <w:pStyle w:val="a3"/>
        <w:tabs>
          <w:tab w:val="left" w:pos="1134"/>
        </w:tabs>
        <w:spacing w:after="0" w:line="240" w:lineRule="auto"/>
        <w:ind w:left="0" w:firstLine="709"/>
        <w:jc w:val="both"/>
        <w:rPr>
          <w:rFonts w:ascii="Times New Roman" w:eastAsia="Times New Roman" w:hAnsi="Times New Roman" w:cs="Times New Roman"/>
          <w:i/>
          <w:sz w:val="28"/>
          <w:szCs w:val="28"/>
          <w:lang w:eastAsia="ru-RU"/>
        </w:rPr>
      </w:pPr>
      <w:r w:rsidRPr="00A14F15">
        <w:rPr>
          <w:rFonts w:ascii="Times New Roman" w:eastAsia="Times New Roman" w:hAnsi="Times New Roman" w:cs="Times New Roman"/>
          <w:i/>
          <w:sz w:val="28"/>
          <w:szCs w:val="28"/>
          <w:lang w:eastAsia="ru-RU"/>
        </w:rPr>
        <w:t xml:space="preserve">Лекция 3 </w:t>
      </w:r>
      <w:r w:rsidRPr="00A14F15">
        <w:rPr>
          <w:rFonts w:ascii="Times New Roman" w:hAnsi="Times New Roman" w:cs="Times New Roman"/>
          <w:i/>
          <w:sz w:val="28"/>
          <w:szCs w:val="28"/>
        </w:rPr>
        <w:t>Планирование развития промышленной и селитебной застройки района</w:t>
      </w:r>
    </w:p>
    <w:p w14:paraId="054115CB" w14:textId="77777777" w:rsidR="00DE35EB" w:rsidRDefault="00DE35EB" w:rsidP="00DE35EB">
      <w:pPr>
        <w:pStyle w:val="a3"/>
        <w:tabs>
          <w:tab w:val="left" w:pos="1134"/>
        </w:tabs>
        <w:spacing w:after="0" w:line="240" w:lineRule="auto"/>
        <w:ind w:left="0" w:firstLine="709"/>
        <w:jc w:val="both"/>
        <w:rPr>
          <w:rFonts w:ascii="Times New Roman" w:eastAsia="Times New Roman" w:hAnsi="Times New Roman" w:cs="Times New Roman"/>
          <w:sz w:val="28"/>
          <w:szCs w:val="28"/>
          <w:lang w:eastAsia="ru-RU"/>
        </w:rPr>
      </w:pPr>
    </w:p>
    <w:p w14:paraId="2CEDBF19" w14:textId="77777777" w:rsidR="00DE35EB" w:rsidRPr="00A14F15" w:rsidRDefault="00DE35EB" w:rsidP="00DE35EB">
      <w:pPr>
        <w:pStyle w:val="a3"/>
        <w:tabs>
          <w:tab w:val="left" w:pos="1134"/>
        </w:tabs>
        <w:spacing w:after="0" w:line="240" w:lineRule="auto"/>
        <w:ind w:left="0" w:firstLine="709"/>
        <w:jc w:val="both"/>
        <w:rPr>
          <w:rFonts w:ascii="Times New Roman" w:hAnsi="Times New Roman" w:cs="Times New Roman"/>
          <w:color w:val="000000"/>
          <w:sz w:val="28"/>
          <w:szCs w:val="28"/>
          <w:shd w:val="clear" w:color="auto" w:fill="FFFFFF"/>
        </w:rPr>
      </w:pPr>
      <w:r w:rsidRPr="00A14F15">
        <w:rPr>
          <w:rFonts w:ascii="Times New Roman" w:hAnsi="Times New Roman" w:cs="Times New Roman"/>
          <w:color w:val="000000"/>
          <w:sz w:val="28"/>
          <w:szCs w:val="28"/>
          <w:shd w:val="clear" w:color="auto" w:fill="FFFFFF"/>
        </w:rPr>
        <w:t>Промышленные предприятия целесообразно размещать не разрозненно, а концентрировать в большие группы, находящиеся на общей территории и образую</w:t>
      </w:r>
      <w:r>
        <w:rPr>
          <w:rFonts w:ascii="Times New Roman" w:hAnsi="Times New Roman" w:cs="Times New Roman"/>
          <w:color w:val="000000"/>
          <w:sz w:val="28"/>
          <w:szCs w:val="28"/>
          <w:shd w:val="clear" w:color="auto" w:fill="FFFFFF"/>
        </w:rPr>
        <w:t>щие промышленные районы</w:t>
      </w:r>
      <w:r w:rsidRPr="00A14F15">
        <w:rPr>
          <w:rFonts w:ascii="Times New Roman" w:hAnsi="Times New Roman" w:cs="Times New Roman"/>
          <w:color w:val="000000"/>
          <w:sz w:val="28"/>
          <w:szCs w:val="28"/>
          <w:shd w:val="clear" w:color="auto" w:fill="FFFFFF"/>
        </w:rPr>
        <w:t>, которые занимают часть территории города или прилегающей к нему территории, причем на территории промышленного района могут размещаться одна или несколько таких групп.</w:t>
      </w:r>
    </w:p>
    <w:p w14:paraId="37C8FE52"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 xml:space="preserve">В индустриальных городах промышленные районы с расположенными в них производственными предприятиями занимают до </w:t>
      </w:r>
      <w:r>
        <w:rPr>
          <w:color w:val="000000"/>
          <w:sz w:val="28"/>
          <w:szCs w:val="28"/>
        </w:rPr>
        <w:t>50-60% территории (в среднем 25-</w:t>
      </w:r>
      <w:r w:rsidRPr="00A14F15">
        <w:rPr>
          <w:color w:val="000000"/>
          <w:sz w:val="28"/>
          <w:szCs w:val="28"/>
        </w:rPr>
        <w:t>35% при минимуме 15%), являясь основным градообразующим ядром. Промышленные районы существенно влияют на размеры городов, их планировочную структуру и условия жизни горожан. Их важнейшая особенность — кооперирование основных, вспомогательных и обслуживающих объектов в городе. При определении размера городского промышленного района исходят из наиболее рационального и экономичного использования городской территории, поэтому размеры района принимают миним</w:t>
      </w:r>
      <w:r>
        <w:rPr>
          <w:color w:val="000000"/>
          <w:sz w:val="28"/>
          <w:szCs w:val="28"/>
        </w:rPr>
        <w:t>ально необходимыми</w:t>
      </w:r>
      <w:r w:rsidRPr="00A14F15">
        <w:rPr>
          <w:color w:val="000000"/>
          <w:sz w:val="28"/>
          <w:szCs w:val="28"/>
        </w:rPr>
        <w:t xml:space="preserve"> с учетом наиболее высокой плотности застройки. Промышленные районы могут быть размещены и на удаленных от существующих городов территориях. Таковы, например, районы расположения предприятий в местах добычи угля, руды, нефти. Однако возникновение таких промышленных районов вызывает необходимость возведения вблизи них новых поселков, нередко развивающихся впоследствии в город.</w:t>
      </w:r>
    </w:p>
    <w:p w14:paraId="34D15A45"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При выборе территории для промышленного района необходимо учитывать природно-климатические и топографические условия (рельеф и уклон местности, направление, скорость и повторяемость ветров, влажность воздуха и др.), инженерно-геологическую характеристику территории (род грунта, его прочность, уровень грунтовых вод, вероятность затопления паводками, наличие оврагов, заболоченных мест и т. д.), возможность удаления обеззараженных сточных вод, для чего устанавливают максимальный уклон промышле</w:t>
      </w:r>
      <w:r>
        <w:rPr>
          <w:color w:val="000000"/>
          <w:sz w:val="28"/>
          <w:szCs w:val="28"/>
        </w:rPr>
        <w:t>нных территорий в пределах 0,03 - 0,05, минимальный -</w:t>
      </w:r>
      <w:r w:rsidRPr="00A14F15">
        <w:rPr>
          <w:color w:val="000000"/>
          <w:sz w:val="28"/>
          <w:szCs w:val="28"/>
        </w:rPr>
        <w:t xml:space="preserve"> 0,003, наличие источников водоснабжения и сетей энергоснабжения, обеспечение железнодорожным, автомобильным или водным транспортом. Особое внимание следует уделять вопросам охраны окружающей среды.</w:t>
      </w:r>
    </w:p>
    <w:p w14:paraId="5E80D1AC"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 xml:space="preserve">Для территории промышленного района предпочтительнее грунты однородного геологического строения с нормативным давлением на основание не менее 0,15 МПа. Желательно, чтобы среднее превышение поверхности промышленной территории над отметкой наивысшего уровня грунтовых вод было не менее 7 м с целью устранения возможности подтопления подземных сооружений (подвалов, туннелей и т. п.). Для исключения возможности затопления поверхности промышленных площадок паводковыми водами отметки поверхности этих площадок должны быть выше расчетного горизонта паводковых вод не менее чем на 0,5 м. За расчетный </w:t>
      </w:r>
      <w:r w:rsidRPr="00A14F15">
        <w:rPr>
          <w:color w:val="000000"/>
          <w:sz w:val="28"/>
          <w:szCs w:val="28"/>
        </w:rPr>
        <w:lastRenderedPageBreak/>
        <w:t xml:space="preserve">горизонт принимают наивысший уровень воды с вероятностью повторения 1 раз в 100 лет для предприятий крупного народнохозяйственного и оборонного значения, а для остальных предприятий 1 раз в 50 лет, кроме предприятий с коротким сроком </w:t>
      </w:r>
      <w:r>
        <w:rPr>
          <w:color w:val="000000"/>
          <w:sz w:val="28"/>
          <w:szCs w:val="28"/>
        </w:rPr>
        <w:t>эксплуатации (до 10-</w:t>
      </w:r>
      <w:r w:rsidRPr="00A14F15">
        <w:rPr>
          <w:color w:val="000000"/>
          <w:sz w:val="28"/>
          <w:szCs w:val="28"/>
        </w:rPr>
        <w:t>15 лет), для которых вероятность повторения допускается 1 раз в 10 лет.</w:t>
      </w:r>
    </w:p>
    <w:p w14:paraId="0EF88DB4"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При выборе территории промышленного района следует учитывать, что предприятия со значительным потреблением электроэнергии, например, производящей алюминий, элегстровыплавку стали и т. п., целесообразно размещать вблизи”- источников электроснабжения (ГЭС, ГРЭС) или линии электропередачи. Промышленные районы, в которых запланированы предприятия со значительным потреблением воды — теплоэлектроцентрали, комбинаты искусственного волокна и целлюлозно-бумажные, необходимо создавать вблизи крупных водоемов. Одновременно должны быть учтены требования к качеству воды в соответствии с характером производства и необходимость сброса сточных вод.</w:t>
      </w:r>
    </w:p>
    <w:p w14:paraId="7060DA2D"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Сбрасывать сточные воды в водоем без предварительного их обезвреживания допускается только при условии, если они не снизят качество хозяйственно-питьевой и производственной воды и не окажут вредного влияния на рыбное хозяйство. Как правило, сточные воды должны быть подвергнуты тщательной очистке в соответствии с действующими санитарными нормами.</w:t>
      </w:r>
    </w:p>
    <w:p w14:paraId="4E9EDB7F"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При выборе территории промышленного района, кроме того, необходимо учитывать требования, предъявляемые промышленным транспортом. На территории предприятий, имеющих железнодорожные пути, следует избегать больших продольных уклонов пути, малых радиусов закруглений, искусственных сооружений, что возможно лишь при соответствующем рельефе площадки, например в том случае, когда направление горизонталей примерно соответствует направлению железнодорожных путей. Наиболее грузоемкие предприятия желательно размещать на территории, имеющей связь с водной артерией. Несомненно, для предприятий, потребляющих большое количество леса (деревообрабатывающих), наиболее удобными для доставки древесины являются водные пути.</w:t>
      </w:r>
    </w:p>
    <w:p w14:paraId="3F576763"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Городские промышленные районы с предприятиями, выделяющими производственные вредности (газ, дым, копоть, пыль, неприятные запахи, шум), необходимо располагать с подветренной стороны по отношению к ближайшему району селитебной части города (селитебной называют территорию города, предназначенную для расположения жилых и общественных зданий, а также зеленых насаждений — садов, парков, скверов, бульваров, стадионов), с тем чтобы господствующие ветры уносили вредные выделения в сторону от селитебной территории. Территории предприятий целесообразно располагать продольной осью параллельно направлению господствующих ветров или под углом к ним не более 45° с целью обеспечения проветривания внутризаводских магистральных и других проездов.</w:t>
      </w:r>
    </w:p>
    <w:p w14:paraId="1726090C"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lastRenderedPageBreak/>
        <w:t>При выборе территории промышленного района следует учитывать, что предприятия со значительным потреблением электроэнергии, например, производящей алюминий, элегстровыплавку стали и т. п., целесообразно размещать вблизи”- источников электроснабжения (ГЭС, ГРЭС) или линии электропередачи. Промышленные районы, в которых запланированы предприятия со значительным потреблением воды — теплоэлектроцентрали, комбинаты искусственного волокна и целлюлозно-бумажные, необходимо создавать вблизи крупных водоемов. Одновременно должны быть учтены требования к качеству воды в соответствии с характером производства и необходимость сброса сточных вод.</w:t>
      </w:r>
    </w:p>
    <w:p w14:paraId="2935E129"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Сбрасывать сточные воды в водоем без предварительного их обезвреживания допускается только при условии, если они не снизят качество хозяйственно-питьевой и производственной воды и не окажут вредного влияния на рыбное хозяйство. Как правило, сточные воды должны быть подвергнуты тщательной очистке в соответствии с действующими санитарными нормами.</w:t>
      </w:r>
    </w:p>
    <w:p w14:paraId="130BA688"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При выборе территории промышленного района, кроме того, необходимо учитывать требования, предъявляемые промышленным транспортом. На территории предприятий, имеющих железнодорожные пути, следует избегать больших продольных уклонов пути, малых радиусов закруглений, искусственных сооружений, что возможно лишь при соответствующем рельефе площадки, например в том случае, когда направление горизонталей примерно соответствует направлению железнодорожных путей. Наиболее грузоемкие предприятия желательно размещать на территории, имеющей связь с водной артерией. Несомненно, для предприятий, потребляющих большое количество леса (деревообрабатывающих), наиболее удобными для доставки древесины являются водные пути.</w:t>
      </w:r>
    </w:p>
    <w:p w14:paraId="41007191" w14:textId="77777777" w:rsidR="00DE35EB" w:rsidRPr="00A14F15" w:rsidRDefault="00DE35EB" w:rsidP="00DE35EB">
      <w:pPr>
        <w:pStyle w:val="a4"/>
        <w:shd w:val="clear" w:color="auto" w:fill="FFFFFF"/>
        <w:tabs>
          <w:tab w:val="left" w:pos="1134"/>
        </w:tabs>
        <w:spacing w:before="0" w:beforeAutospacing="0" w:after="0" w:afterAutospacing="0"/>
        <w:ind w:firstLine="709"/>
        <w:jc w:val="both"/>
        <w:rPr>
          <w:color w:val="000000"/>
          <w:sz w:val="28"/>
          <w:szCs w:val="28"/>
        </w:rPr>
      </w:pPr>
      <w:r w:rsidRPr="00A14F15">
        <w:rPr>
          <w:color w:val="000000"/>
          <w:sz w:val="28"/>
          <w:szCs w:val="28"/>
        </w:rPr>
        <w:t>Городские промышленные районы с предприятиями, выделяющими производственные вредности (газ, дым, копоть, пыль, неприятные запахи, шум), необходимо располагать с подветренной стороны по отношению к ближайшему району селитебной части города (селитебной называют территорию города, предназначенную для расположения жилых и общественных зданий, а также зеленых насаждений — садов, парков, скверов, бульваров, стадионов), с тем чтобы господствующие ветры уносили вредные выделения в сторону от селитебной территории. Территории предприятий целесообразно располагать продольной осью параллельно направлению господствующих ветров или под углом к ним не более 45° с целью обеспечения проветривания внутризаводских магистральных и других проездов.</w:t>
      </w:r>
    </w:p>
    <w:p w14:paraId="4911B06D" w14:textId="77777777" w:rsidR="00DE35EB" w:rsidRDefault="00DE35EB" w:rsidP="00DE35EB">
      <w:pPr>
        <w:pStyle w:val="a3"/>
        <w:tabs>
          <w:tab w:val="left" w:pos="1134"/>
        </w:tabs>
        <w:spacing w:after="0" w:line="240" w:lineRule="auto"/>
        <w:ind w:left="0" w:firstLine="709"/>
        <w:jc w:val="both"/>
        <w:rPr>
          <w:rFonts w:ascii="Times New Roman" w:eastAsia="Times New Roman" w:hAnsi="Times New Roman" w:cs="Times New Roman"/>
          <w:sz w:val="28"/>
          <w:szCs w:val="28"/>
          <w:lang w:eastAsia="ru-RU"/>
        </w:rPr>
      </w:pPr>
    </w:p>
    <w:p w14:paraId="46AA1CE4" w14:textId="77777777" w:rsidR="00DE35EB" w:rsidRPr="00C33EF3" w:rsidRDefault="00DE35EB" w:rsidP="00DE35EB">
      <w:pPr>
        <w:pStyle w:val="a3"/>
        <w:tabs>
          <w:tab w:val="left" w:pos="1134"/>
        </w:tabs>
        <w:spacing w:after="0" w:line="240" w:lineRule="auto"/>
        <w:ind w:left="0" w:firstLine="709"/>
        <w:jc w:val="both"/>
        <w:rPr>
          <w:rFonts w:ascii="Times New Roman" w:hAnsi="Times New Roman" w:cs="Times New Roman"/>
          <w:i/>
          <w:color w:val="000000"/>
          <w:sz w:val="28"/>
          <w:szCs w:val="28"/>
        </w:rPr>
      </w:pPr>
      <w:r w:rsidRPr="00C33EF3">
        <w:rPr>
          <w:rFonts w:ascii="Times New Roman" w:eastAsia="Times New Roman" w:hAnsi="Times New Roman" w:cs="Times New Roman"/>
          <w:i/>
          <w:sz w:val="28"/>
          <w:szCs w:val="28"/>
          <w:lang w:eastAsia="ru-RU"/>
        </w:rPr>
        <w:t xml:space="preserve">Лекция 4 </w:t>
      </w:r>
      <w:r w:rsidRPr="00C33EF3">
        <w:rPr>
          <w:rFonts w:ascii="Times New Roman" w:hAnsi="Times New Roman" w:cs="Times New Roman"/>
          <w:i/>
          <w:color w:val="000000"/>
          <w:sz w:val="28"/>
          <w:szCs w:val="28"/>
        </w:rPr>
        <w:t>Межотраслевое перераспределение земель</w:t>
      </w:r>
    </w:p>
    <w:p w14:paraId="072321C3" w14:textId="77777777" w:rsidR="00DE35EB" w:rsidRDefault="00DE35EB" w:rsidP="00DE35EB">
      <w:pPr>
        <w:pStyle w:val="a3"/>
        <w:tabs>
          <w:tab w:val="left" w:pos="1134"/>
        </w:tabs>
        <w:spacing w:after="0" w:line="240" w:lineRule="auto"/>
        <w:ind w:left="0" w:firstLine="709"/>
        <w:jc w:val="both"/>
        <w:rPr>
          <w:rFonts w:ascii="TimesNewRomanPSMT" w:hAnsi="TimesNewRomanPSMT"/>
          <w:color w:val="000000"/>
        </w:rPr>
      </w:pPr>
    </w:p>
    <w:p w14:paraId="69D2DB87"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 xml:space="preserve">Центральным вопросом разработки схемы землеустройства административно-территориального образования является перераспределения </w:t>
      </w:r>
      <w:r w:rsidRPr="00C33EF3">
        <w:rPr>
          <w:rFonts w:ascii="Times New Roman" w:eastAsia="Times New Roman" w:hAnsi="Times New Roman" w:cs="Times New Roman"/>
          <w:sz w:val="28"/>
          <w:szCs w:val="28"/>
          <w:lang w:eastAsia="ru-RU"/>
        </w:rPr>
        <w:lastRenderedPageBreak/>
        <w:t>земель, по отраслям, уточнения их площади и размещения с целью формирования эффективной и оптимальной межотраслевой системы использования территории. На информационной основе съемок, обследований, классификаций и районирования устанавливается соответствие между отраслевой пригодностью земель и их фактическим использованием. При необходимости предлагаются изменения сложившегося назначения земель.</w:t>
      </w:r>
    </w:p>
    <w:p w14:paraId="593CB1E4" w14:textId="77777777" w:rsidR="00DE35EB"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Перераспределение земель сельскохозяйственного назначения решает задачи:</w:t>
      </w:r>
    </w:p>
    <w:p w14:paraId="08816E98" w14:textId="77777777" w:rsidR="00DE35EB"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Выявления непригодных для использования в сельском хозяйстве площадей;</w:t>
      </w:r>
    </w:p>
    <w:p w14:paraId="687C6CDF" w14:textId="77777777" w:rsidR="00DE35EB"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Передачи малопродуктивных угодий в лесное, водное хозяйство или иное использование;</w:t>
      </w:r>
    </w:p>
    <w:p w14:paraId="086994EF" w14:textId="77777777" w:rsidR="00DE35EB"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Выявления резерва продуктивных земель для сельского хозяйства;</w:t>
      </w:r>
    </w:p>
    <w:p w14:paraId="55835A35" w14:textId="77777777" w:rsidR="00DE35EB"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Выделения особо ценных сельскохозяйственных угодий, со специальным режимом использования;</w:t>
      </w:r>
    </w:p>
    <w:p w14:paraId="2B2884BD" w14:textId="77777777" w:rsidR="00DE35EB"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Определения особо охраняемых территорий и объектов;</w:t>
      </w:r>
    </w:p>
    <w:p w14:paraId="4C790633" w14:textId="77777777" w:rsidR="00DE35EB" w:rsidRPr="0083612F" w:rsidRDefault="00DE35EB" w:rsidP="00DE35EB">
      <w:pPr>
        <w:pStyle w:val="a3"/>
        <w:numPr>
          <w:ilvl w:val="0"/>
          <w:numId w:val="5"/>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Установления объемов и размещения мероприятий по улучшению угодий (осушение, орошение, рекультивация и т.д.);</w:t>
      </w:r>
    </w:p>
    <w:p w14:paraId="59EFAD90"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Земли сельскохозяйственного назначения, должны по своему качеству обеспечивать рентабельное ведение отраслей растениеводства и животноводства.</w:t>
      </w:r>
    </w:p>
    <w:p w14:paraId="5AE261C0"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Земли лесного фонда при перераспределении анализируются с позиции:</w:t>
      </w:r>
    </w:p>
    <w:p w14:paraId="39CCE6EE"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1) Оптимальных параметров лесистости территории и комплексного многоцелевого использования лесных земель;</w:t>
      </w:r>
    </w:p>
    <w:p w14:paraId="04C40CAF"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2) Увеличения воздействия леса на окружающую природную среду, возрастания его роли в организации территории и создании экологического каркаса;</w:t>
      </w:r>
    </w:p>
    <w:p w14:paraId="70274F57"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3) Возможностей и целесообразности расширения площади лесов или их сокращения при организации подсобных хозяйств, предприятий коллективных садов и граждан и т.д.;</w:t>
      </w:r>
    </w:p>
    <w:p w14:paraId="2F1BBE88"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4) Предоставления лесных земель для сенокошения и пастьбы животных без ущерба для лесного хозяйства.</w:t>
      </w:r>
    </w:p>
    <w:p w14:paraId="5669400C" w14:textId="77777777" w:rsidR="00DE35EB"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Перераспределение земель поселений учитывает коренные изменения в этой категории, произошедшие за годы земельной реформы (правового статуса, площади, размещения). В частности оцениваются:</w:t>
      </w:r>
    </w:p>
    <w:p w14:paraId="1ECAE1A1" w14:textId="77777777" w:rsidR="00DE35EB" w:rsidRDefault="00DE35EB" w:rsidP="00DE35EB">
      <w:pPr>
        <w:pStyle w:val="a3"/>
        <w:numPr>
          <w:ilvl w:val="0"/>
          <w:numId w:val="6"/>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Фактическая землеобспеченность различных населенных пунктов;</w:t>
      </w:r>
    </w:p>
    <w:p w14:paraId="683EAC16" w14:textId="77777777" w:rsidR="00DE35EB" w:rsidRDefault="00DE35EB" w:rsidP="00DE35EB">
      <w:pPr>
        <w:pStyle w:val="a3"/>
        <w:numPr>
          <w:ilvl w:val="0"/>
          <w:numId w:val="6"/>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Соответствие способов использования земель населенных пунктов целевому назначению;</w:t>
      </w:r>
    </w:p>
    <w:p w14:paraId="475CB696" w14:textId="77777777" w:rsidR="00DE35EB" w:rsidRPr="0083612F" w:rsidRDefault="00DE35EB" w:rsidP="00DE35EB">
      <w:pPr>
        <w:pStyle w:val="a3"/>
        <w:numPr>
          <w:ilvl w:val="0"/>
          <w:numId w:val="6"/>
        </w:num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83612F">
        <w:rPr>
          <w:rFonts w:ascii="Times New Roman" w:eastAsia="Times New Roman" w:hAnsi="Times New Roman" w:cs="Times New Roman"/>
          <w:sz w:val="28"/>
          <w:szCs w:val="28"/>
          <w:lang w:eastAsia="ru-RU"/>
        </w:rPr>
        <w:t>Состояние сервисного обслуживания граждан при обработке приусадебных участков, улучшении сенокосов и пастбищ.</w:t>
      </w:r>
    </w:p>
    <w:p w14:paraId="4AD5763A"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Дефицит земель поселений восполняется за счет фонда перераспределения, а избыток земель подлежит изъятию для передачи гражданам и предприятиям.</w:t>
      </w:r>
    </w:p>
    <w:p w14:paraId="7A2571D3"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lastRenderedPageBreak/>
        <w:t>Земли промышленности, энергетики, транспорта и иного специального назначения при перераспределении характеризуют соответствие использования целевому назначению уровень отрицательного воздействия объектов на природную среду:</w:t>
      </w:r>
    </w:p>
    <w:p w14:paraId="098C94EE" w14:textId="77777777" w:rsidR="00DE35EB"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Соответствие площади землеемких объектов нормативам, аналогам, типовым проектам;</w:t>
      </w:r>
    </w:p>
    <w:p w14:paraId="713A29E0" w14:textId="77777777" w:rsidR="00DE35EB"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Возможности изъятия неиспользуемых земель для других отраслей;</w:t>
      </w:r>
    </w:p>
    <w:p w14:paraId="5F657826" w14:textId="77777777" w:rsidR="00DE35EB"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Выделения при необходимости дополнительных площадей вне городов и поселков;</w:t>
      </w:r>
    </w:p>
    <w:p w14:paraId="52BF3AB9" w14:textId="77777777" w:rsidR="00DE35EB"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Сокращение и устранение выбросов вредных веществ и производственных отходов;</w:t>
      </w:r>
    </w:p>
    <w:p w14:paraId="0D3C9AC9" w14:textId="77777777" w:rsidR="00DE35EB"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Проведение работ по рекультивации нарушенных земель;</w:t>
      </w:r>
    </w:p>
    <w:p w14:paraId="690AC0BF" w14:textId="77777777" w:rsidR="00DE35EB" w:rsidRPr="00FD0E5E" w:rsidRDefault="00DE35EB" w:rsidP="00DE35EB">
      <w:pPr>
        <w:pStyle w:val="a3"/>
        <w:numPr>
          <w:ilvl w:val="0"/>
          <w:numId w:val="1"/>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Установление экологически безопасных режимов использования земель, в т.ч. особо охраняемых территорий и объектов;</w:t>
      </w:r>
    </w:p>
    <w:p w14:paraId="5C915446" w14:textId="77777777" w:rsidR="00DE35EB" w:rsidRPr="00C33EF3" w:rsidRDefault="00DE35EB" w:rsidP="00DE35EB">
      <w:pPr>
        <w:shd w:val="clear" w:color="auto" w:fill="FFFFFF"/>
        <w:tabs>
          <w:tab w:val="left" w:pos="1134"/>
        </w:tabs>
        <w:spacing w:after="0" w:line="240" w:lineRule="auto"/>
        <w:ind w:right="-1"/>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Организация использования земель водного фонда</w:t>
      </w:r>
      <w:r>
        <w:rPr>
          <w:rFonts w:ascii="Times New Roman" w:eastAsia="Times New Roman" w:hAnsi="Times New Roman" w:cs="Times New Roman"/>
          <w:sz w:val="28"/>
          <w:szCs w:val="28"/>
          <w:lang w:eastAsia="ru-RU"/>
        </w:rPr>
        <w:t xml:space="preserve"> </w:t>
      </w:r>
      <w:r w:rsidRPr="00C33EF3">
        <w:rPr>
          <w:rFonts w:ascii="Times New Roman" w:eastAsia="Times New Roman" w:hAnsi="Times New Roman" w:cs="Times New Roman"/>
          <w:sz w:val="28"/>
          <w:szCs w:val="28"/>
          <w:lang w:eastAsia="ru-RU"/>
        </w:rPr>
        <w:t>может включать:</w:t>
      </w:r>
    </w:p>
    <w:p w14:paraId="4E5AE90E" w14:textId="77777777" w:rsidR="00DE35EB" w:rsidRDefault="00DE35EB" w:rsidP="00DE35EB">
      <w:pPr>
        <w:pStyle w:val="a3"/>
        <w:numPr>
          <w:ilvl w:val="0"/>
          <w:numId w:val="2"/>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Передачу для водохозяйственного использования дополнительных площадей, занятых водными объектами;</w:t>
      </w:r>
    </w:p>
    <w:p w14:paraId="10AB9FF2" w14:textId="77777777" w:rsidR="00DE35EB" w:rsidRDefault="00DE35EB" w:rsidP="00DE35EB">
      <w:pPr>
        <w:pStyle w:val="a3"/>
        <w:numPr>
          <w:ilvl w:val="0"/>
          <w:numId w:val="2"/>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Определение перспективной площади для нового водохозяйственного строительства;</w:t>
      </w:r>
    </w:p>
    <w:p w14:paraId="2323C2EF" w14:textId="77777777" w:rsidR="00DE35EB" w:rsidRPr="00FD0E5E" w:rsidRDefault="00DE35EB" w:rsidP="00DE35EB">
      <w:pPr>
        <w:pStyle w:val="a3"/>
        <w:numPr>
          <w:ilvl w:val="0"/>
          <w:numId w:val="2"/>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Защиту водохозяйственных объектов от загрязнения, а смежных территорий от подтопления и т.д.;</w:t>
      </w:r>
    </w:p>
    <w:p w14:paraId="2DFA1142"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Передаваемые в состав земель водного фонда участки должны иметь хорошие гидрогеологические свойства.</w:t>
      </w:r>
    </w:p>
    <w:p w14:paraId="6D74E0EC"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Земли запаса при перераспределении оцениваются с целью:</w:t>
      </w:r>
    </w:p>
    <w:p w14:paraId="37E5B6AB" w14:textId="77777777" w:rsidR="00DE35EB" w:rsidRDefault="00DE35EB" w:rsidP="00DE35EB">
      <w:pPr>
        <w:pStyle w:val="a3"/>
        <w:numPr>
          <w:ilvl w:val="0"/>
          <w:numId w:val="3"/>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Установления пригодности земель для эффективной производственной деятельности;</w:t>
      </w:r>
    </w:p>
    <w:p w14:paraId="029D9E8F" w14:textId="77777777" w:rsidR="00DE35EB" w:rsidRDefault="00DE35EB" w:rsidP="00DE35EB">
      <w:pPr>
        <w:pStyle w:val="a3"/>
        <w:numPr>
          <w:ilvl w:val="0"/>
          <w:numId w:val="3"/>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Выделения территорий с особым охранным режимом пользования;</w:t>
      </w:r>
    </w:p>
    <w:p w14:paraId="73D87EA8" w14:textId="77777777" w:rsidR="00DE35EB" w:rsidRDefault="00DE35EB" w:rsidP="00DE35EB">
      <w:pPr>
        <w:pStyle w:val="a3"/>
        <w:numPr>
          <w:ilvl w:val="0"/>
          <w:numId w:val="3"/>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Передачи земель конкретным землевладельцам и землепользователям;</w:t>
      </w:r>
    </w:p>
    <w:p w14:paraId="537FE167" w14:textId="77777777" w:rsidR="00DE35EB" w:rsidRPr="00FD0E5E" w:rsidRDefault="00DE35EB" w:rsidP="00DE35EB">
      <w:pPr>
        <w:pStyle w:val="a3"/>
        <w:numPr>
          <w:ilvl w:val="0"/>
          <w:numId w:val="3"/>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Разработки мероприятий по повышению плодородия земель запаса, орошению, осушению, обводнению.</w:t>
      </w:r>
    </w:p>
    <w:p w14:paraId="6BF70C40" w14:textId="77777777"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Земли особо охраняемых территорий</w:t>
      </w:r>
      <w:r>
        <w:rPr>
          <w:rFonts w:ascii="Times New Roman" w:eastAsia="Times New Roman" w:hAnsi="Times New Roman" w:cs="Times New Roman"/>
          <w:sz w:val="28"/>
          <w:szCs w:val="28"/>
          <w:lang w:eastAsia="ru-RU"/>
        </w:rPr>
        <w:t xml:space="preserve"> </w:t>
      </w:r>
      <w:r w:rsidRPr="00C33EF3">
        <w:rPr>
          <w:rFonts w:ascii="Times New Roman" w:eastAsia="Times New Roman" w:hAnsi="Times New Roman" w:cs="Times New Roman"/>
          <w:sz w:val="28"/>
          <w:szCs w:val="28"/>
          <w:lang w:eastAsia="ru-RU"/>
        </w:rPr>
        <w:t>выделяются с 1991 г. Их формирование далеко не закончено. Поэтому при перераспределении необходимо:</w:t>
      </w:r>
    </w:p>
    <w:p w14:paraId="7F9DD94C" w14:textId="77777777" w:rsidR="00DE35EB" w:rsidRDefault="00DE35EB" w:rsidP="00DE35EB">
      <w:pPr>
        <w:pStyle w:val="a3"/>
        <w:numPr>
          <w:ilvl w:val="0"/>
          <w:numId w:val="4"/>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Проверить земельно-учетные данные по наличию особо охраняемых территорий и объектов и сравнить их с фактическим положением;</w:t>
      </w:r>
    </w:p>
    <w:p w14:paraId="65A64818" w14:textId="77777777" w:rsidR="00DE35EB" w:rsidRDefault="00DE35EB" w:rsidP="00DE35EB">
      <w:pPr>
        <w:pStyle w:val="a3"/>
        <w:numPr>
          <w:ilvl w:val="0"/>
          <w:numId w:val="4"/>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sidRPr="00FD0E5E">
        <w:rPr>
          <w:rFonts w:ascii="Times New Roman" w:eastAsia="Times New Roman" w:hAnsi="Times New Roman" w:cs="Times New Roman"/>
          <w:sz w:val="28"/>
          <w:szCs w:val="28"/>
          <w:lang w:eastAsia="ru-RU"/>
        </w:rPr>
        <w:t>Оценить правильность их выделения на землях других категорий;</w:t>
      </w:r>
    </w:p>
    <w:p w14:paraId="3728BAED" w14:textId="77777777" w:rsidR="00DE35EB" w:rsidRPr="00FD0E5E" w:rsidRDefault="00DE35EB" w:rsidP="00DE35EB">
      <w:pPr>
        <w:pStyle w:val="a3"/>
        <w:numPr>
          <w:ilvl w:val="0"/>
          <w:numId w:val="4"/>
        </w:numPr>
        <w:shd w:val="clear" w:color="auto" w:fill="FFFFFF"/>
        <w:tabs>
          <w:tab w:val="left" w:pos="1134"/>
        </w:tabs>
        <w:spacing w:after="0" w:line="240" w:lineRule="auto"/>
        <w:ind w:left="0" w:right="-1"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w:t>
      </w:r>
      <w:r w:rsidRPr="00FD0E5E">
        <w:rPr>
          <w:rFonts w:ascii="Times New Roman" w:eastAsia="Times New Roman" w:hAnsi="Times New Roman" w:cs="Times New Roman"/>
          <w:sz w:val="28"/>
          <w:szCs w:val="28"/>
          <w:lang w:eastAsia="ru-RU"/>
        </w:rPr>
        <w:t>становить режим их использования и охраны.</w:t>
      </w:r>
    </w:p>
    <w:p w14:paraId="3097F9C1" w14:textId="4B5C4FFD" w:rsidR="00DE35EB" w:rsidRPr="00C33EF3" w:rsidRDefault="00DE35EB" w:rsidP="00DE35EB">
      <w:pPr>
        <w:shd w:val="clear" w:color="auto" w:fill="FFFFFF"/>
        <w:tabs>
          <w:tab w:val="left" w:pos="1134"/>
        </w:tabs>
        <w:spacing w:after="0" w:line="240" w:lineRule="auto"/>
        <w:ind w:left="0" w:right="-1" w:firstLine="709"/>
        <w:jc w:val="both"/>
        <w:rPr>
          <w:rFonts w:ascii="Times New Roman" w:eastAsia="Times New Roman" w:hAnsi="Times New Roman" w:cs="Times New Roman"/>
          <w:sz w:val="28"/>
          <w:szCs w:val="28"/>
          <w:lang w:eastAsia="ru-RU"/>
        </w:rPr>
      </w:pPr>
      <w:r w:rsidRPr="00C33EF3">
        <w:rPr>
          <w:rFonts w:ascii="Times New Roman" w:eastAsia="Times New Roman" w:hAnsi="Times New Roman" w:cs="Times New Roman"/>
          <w:sz w:val="28"/>
          <w:szCs w:val="28"/>
          <w:lang w:eastAsia="ru-RU"/>
        </w:rPr>
        <w:t>Разработка этой составной части схемы землеустройства завершается составлением земельного баланса района, отражающего наличие земель по категориям назначения, перспективный их состав, изменения за расчетный период, формы собственности на землю</w:t>
      </w:r>
      <w:r>
        <w:rPr>
          <w:rFonts w:ascii="Times New Roman" w:eastAsia="Times New Roman" w:hAnsi="Times New Roman" w:cs="Times New Roman"/>
          <w:sz w:val="28"/>
          <w:szCs w:val="28"/>
          <w:lang w:eastAsia="ru-RU"/>
        </w:rPr>
        <w:t>.</w:t>
      </w:r>
      <w:bookmarkStart w:id="0" w:name="_GoBack"/>
      <w:bookmarkEnd w:id="0"/>
      <w:r w:rsidRPr="00C33EF3">
        <w:rPr>
          <w:rFonts w:ascii="Times New Roman" w:eastAsia="Times New Roman" w:hAnsi="Times New Roman" w:cs="Times New Roman"/>
          <w:sz w:val="28"/>
          <w:szCs w:val="28"/>
          <w:lang w:eastAsia="ru-RU"/>
        </w:rPr>
        <w:t> </w:t>
      </w:r>
    </w:p>
    <w:p w14:paraId="5CC99948" w14:textId="77777777" w:rsidR="00F52022" w:rsidRDefault="00F52022"/>
    <w:sectPr w:rsidR="00F520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AD09C7"/>
    <w:multiLevelType w:val="hybridMultilevel"/>
    <w:tmpl w:val="A2B0D48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30F25F50"/>
    <w:multiLevelType w:val="hybridMultilevel"/>
    <w:tmpl w:val="9AB802D0"/>
    <w:lvl w:ilvl="0" w:tplc="A672D12A">
      <w:start w:val="1"/>
      <w:numFmt w:val="decimal"/>
      <w:lvlText w:val="%1)"/>
      <w:lvlJc w:val="center"/>
      <w:pPr>
        <w:ind w:left="1495" w:hanging="360"/>
      </w:pPr>
      <w:rPr>
        <w:rFonts w:hint="default"/>
        <w:spacing w:val="0"/>
        <w:position w:val="0"/>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2" w15:restartNumberingAfterBreak="0">
    <w:nsid w:val="59F55B18"/>
    <w:multiLevelType w:val="hybridMultilevel"/>
    <w:tmpl w:val="D534C0D2"/>
    <w:lvl w:ilvl="0" w:tplc="A672D12A">
      <w:start w:val="1"/>
      <w:numFmt w:val="decimal"/>
      <w:lvlText w:val="%1)"/>
      <w:lvlJc w:val="center"/>
      <w:pPr>
        <w:ind w:left="720" w:hanging="360"/>
      </w:pPr>
      <w:rPr>
        <w:rFonts w:hint="default"/>
        <w:spacing w:val="0"/>
        <w:position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CAB6231"/>
    <w:multiLevelType w:val="hybridMultilevel"/>
    <w:tmpl w:val="6CA2E3D6"/>
    <w:lvl w:ilvl="0" w:tplc="A672D12A">
      <w:start w:val="1"/>
      <w:numFmt w:val="decimal"/>
      <w:lvlText w:val="%1)"/>
      <w:lvlJc w:val="center"/>
      <w:pPr>
        <w:ind w:left="720" w:hanging="360"/>
      </w:pPr>
      <w:rPr>
        <w:rFonts w:hint="default"/>
        <w:spacing w:val="0"/>
        <w:position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4B95AA9"/>
    <w:multiLevelType w:val="hybridMultilevel"/>
    <w:tmpl w:val="7902E7AA"/>
    <w:lvl w:ilvl="0" w:tplc="A672D12A">
      <w:start w:val="1"/>
      <w:numFmt w:val="decimal"/>
      <w:lvlText w:val="%1)"/>
      <w:lvlJc w:val="center"/>
      <w:pPr>
        <w:ind w:left="1429" w:hanging="360"/>
      </w:pPr>
      <w:rPr>
        <w:rFonts w:hint="default"/>
        <w:spacing w:val="0"/>
        <w:position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72921E1A"/>
    <w:multiLevelType w:val="hybridMultilevel"/>
    <w:tmpl w:val="024EE2F2"/>
    <w:lvl w:ilvl="0" w:tplc="A672D12A">
      <w:start w:val="1"/>
      <w:numFmt w:val="decimal"/>
      <w:lvlText w:val="%1)"/>
      <w:lvlJc w:val="center"/>
      <w:pPr>
        <w:ind w:left="720" w:hanging="360"/>
      </w:pPr>
      <w:rPr>
        <w:rFonts w:hint="default"/>
        <w:spacing w:val="0"/>
        <w:position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DC2"/>
    <w:rsid w:val="00094DC2"/>
    <w:rsid w:val="00DE35EB"/>
    <w:rsid w:val="00F520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52AEB"/>
  <w15:chartTrackingRefBased/>
  <w15:docId w15:val="{9B6DBAEB-B5F1-40EB-85C7-08878845B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35EB"/>
    <w:pPr>
      <w:spacing w:after="200" w:line="276" w:lineRule="auto"/>
      <w:ind w:left="567"/>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E35EB"/>
    <w:pPr>
      <w:ind w:left="720"/>
      <w:contextualSpacing/>
    </w:pPr>
  </w:style>
  <w:style w:type="paragraph" w:styleId="a4">
    <w:name w:val="Normal (Web)"/>
    <w:basedOn w:val="a"/>
    <w:uiPriority w:val="99"/>
    <w:semiHidden/>
    <w:unhideWhenUsed/>
    <w:rsid w:val="00DE35EB"/>
    <w:pPr>
      <w:spacing w:before="100" w:beforeAutospacing="1" w:after="100" w:afterAutospacing="1" w:line="240" w:lineRule="auto"/>
      <w:ind w:left="0"/>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1861</Words>
  <Characters>10610</Characters>
  <Application>Microsoft Office Word</Application>
  <DocSecurity>0</DocSecurity>
  <Lines>88</Lines>
  <Paragraphs>24</Paragraphs>
  <ScaleCrop>false</ScaleCrop>
  <Company/>
  <LinksUpToDate>false</LinksUpToDate>
  <CharactersWithSpaces>12447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2021-11-09T16:35:00Z</dcterms:created>
  <dcterms:modified xsi:type="dcterms:W3CDTF">2021-11-09T16:36:00Z</dcterms:modified>
</cp:coreProperties>
</file>