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7714" w:rsidRDefault="00EA7714" w:rsidP="00EA7714">
      <w:pPr>
        <w:shd w:val="clear" w:color="auto" w:fill="FFFFFF"/>
        <w:spacing w:after="225" w:line="240" w:lineRule="auto"/>
        <w:outlineLvl w:val="0"/>
        <w:rPr>
          <w:color w:val="0070C0"/>
        </w:rPr>
      </w:pPr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Лекция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 xml:space="preserve"> </w:t>
      </w:r>
      <w:r w:rsidR="00684E3E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7</w:t>
      </w:r>
      <w:bookmarkStart w:id="0" w:name="_GoBack"/>
      <w:bookmarkEnd w:id="0"/>
    </w:p>
    <w:p w:rsidR="008B600A" w:rsidRPr="00EA7714" w:rsidRDefault="008B600A" w:rsidP="008B600A">
      <w:pPr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r w:rsidRPr="00EA7714">
        <w:rPr>
          <w:rFonts w:ascii="Times New Roman" w:hAnsi="Times New Roman" w:cs="Times New Roman"/>
          <w:color w:val="0070C0"/>
          <w:sz w:val="28"/>
          <w:szCs w:val="28"/>
        </w:rPr>
        <w:t>ОЦЕНКА ЕСТЕСТВЕННЫХ РЕСУРСОВ</w:t>
      </w: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В безнапорных водоносных горизонтах источниками поступления воды являются инфильтрационное питание, боковой приток, питание из поверхностных водоемов в период паводков, перетекание из нижележащего напорного водоносного горизонта. </w:t>
      </w: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>Расходные составляющие естественных ресурсов – дренирование поверхностными водотоками, испарение, боковой отток и перетекание через подошву в нижележащий водоносный горизонт, родниковая разгрузка.</w:t>
      </w: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В напорных водоносных горизонтах формирование естественных ресурсов происходит за счет бокового притока, а также за счет перетекания воды через подошву и кровлю из смежных водоносных горизонтов. </w:t>
      </w: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>Составляющими разгрузки напорных подземных вод, отражающими их естественные ресурсы, являются боковой отток и перетекание в смежные водоносные горизонты.</w:t>
      </w: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Результаты количественной оценки естественных ресурсов выражаются в виде расхода подземного потока (м</w:t>
      </w:r>
      <w:r w:rsidR="008B600A" w:rsidRPr="00EA7714">
        <w:rPr>
          <w:rFonts w:ascii="Times New Roman" w:hAnsi="Times New Roman" w:cs="Times New Roman"/>
          <w:sz w:val="32"/>
          <w:szCs w:val="32"/>
          <w:vertAlign w:val="superscript"/>
        </w:rPr>
        <w:t>3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/</w:t>
      </w:r>
      <w:proofErr w:type="spellStart"/>
      <w:r w:rsidR="008B600A" w:rsidRPr="00EA7714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="008B600A" w:rsidRPr="00EA7714">
        <w:rPr>
          <w:rFonts w:ascii="Times New Roman" w:hAnsi="Times New Roman" w:cs="Times New Roman"/>
          <w:sz w:val="28"/>
          <w:szCs w:val="28"/>
        </w:rPr>
        <w:t>, л/с) или слоя воды, поступающей на питание подземных вод в единицу времени (мм/</w:t>
      </w:r>
      <w:proofErr w:type="spellStart"/>
      <w:r w:rsidR="008B600A" w:rsidRPr="00EA7714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="008B600A" w:rsidRPr="00EA7714">
        <w:rPr>
          <w:rFonts w:ascii="Times New Roman" w:hAnsi="Times New Roman" w:cs="Times New Roman"/>
          <w:sz w:val="28"/>
          <w:szCs w:val="28"/>
        </w:rPr>
        <w:t>, мм/год).</w:t>
      </w: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</w:t>
      </w:r>
      <w:r w:rsidR="008B600A" w:rsidRPr="00EA7714">
        <w:rPr>
          <w:rFonts w:ascii="Times New Roman" w:hAnsi="Times New Roman" w:cs="Times New Roman"/>
          <w:sz w:val="28"/>
          <w:szCs w:val="28"/>
          <w:highlight w:val="yellow"/>
        </w:rPr>
        <w:t>Естественные ресурсы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могут быть подсчитаны либо по величине их суммарного питания, либо по величине их разгрузки. При наличии сведений о площадном питании водоносного горизонта ௜</w:t>
      </w:r>
      <w:r w:rsidR="008B600A" w:rsidRPr="00EA7714">
        <w:rPr>
          <w:rFonts w:ascii="Segoe UI Historic" w:hAnsi="Segoe UI Historic" w:cs="Segoe UI Historic"/>
          <w:sz w:val="28"/>
          <w:szCs w:val="28"/>
        </w:rPr>
        <w:t>ܨ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</w:t>
      </w:r>
      <w:r w:rsidR="008B600A" w:rsidRPr="00EA7714">
        <w:rPr>
          <w:rFonts w:ascii="Cambria Math" w:hAnsi="Cambria Math" w:cs="Cambria Math"/>
          <w:sz w:val="28"/>
          <w:szCs w:val="28"/>
        </w:rPr>
        <w:t>∗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௜</w:t>
      </w:r>
      <w:r w:rsidR="008B600A" w:rsidRPr="00EA7714">
        <w:rPr>
          <w:rFonts w:ascii="Ebrima" w:hAnsi="Ebrima" w:cs="Ebrima"/>
          <w:sz w:val="28"/>
          <w:szCs w:val="28"/>
        </w:rPr>
        <w:t>߳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∑ </w:t>
      </w:r>
      <w:proofErr w:type="gramStart"/>
      <w:r w:rsidR="008B600A" w:rsidRPr="00EA7714">
        <w:rPr>
          <w:rFonts w:ascii="Times New Roman" w:hAnsi="Times New Roman" w:cs="Times New Roman"/>
          <w:sz w:val="28"/>
          <w:szCs w:val="28"/>
        </w:rPr>
        <w:t>= ௣.</w:t>
      </w:r>
      <w:proofErr w:type="gramEnd"/>
      <w:r w:rsidR="008B600A" w:rsidRPr="00EA7714">
        <w:rPr>
          <w:rFonts w:ascii="Times New Roman" w:hAnsi="Times New Roman" w:cs="Times New Roman"/>
          <w:sz w:val="28"/>
          <w:szCs w:val="28"/>
        </w:rPr>
        <w:t>௘</w:t>
      </w:r>
      <w:r w:rsidR="008B600A" w:rsidRPr="00EA7714">
        <w:rPr>
          <w:rFonts w:ascii="Segoe UI Historic" w:hAnsi="Segoe UI Historic" w:cs="Segoe UI Historic"/>
          <w:sz w:val="28"/>
          <w:szCs w:val="28"/>
        </w:rPr>
        <w:t>ܳ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, где </w:t>
      </w:r>
      <w:r w:rsidR="008B600A" w:rsidRPr="00EA7714">
        <w:rPr>
          <w:rFonts w:ascii="Ebrima" w:hAnsi="Ebrima" w:cs="Ebrima"/>
          <w:sz w:val="28"/>
          <w:szCs w:val="28"/>
        </w:rPr>
        <w:t>߳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௜ – величина питания за счет i = 1, 2, 3-го источника питания, представляющая собой количество воды, поступающей на единицу его площади в единицу времени. </w:t>
      </w: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  <w:highlight w:val="green"/>
        </w:rPr>
        <w:t>Гидродинамический метод оценки естественных ресурсов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имеет 2 модификации: </w:t>
      </w:r>
    </w:p>
    <w:p w:rsidR="00EA7714" w:rsidRDefault="008B600A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 w:rsidRPr="00EA7714">
        <w:rPr>
          <w:rFonts w:ascii="Times New Roman" w:hAnsi="Times New Roman" w:cs="Times New Roman"/>
          <w:sz w:val="28"/>
          <w:szCs w:val="28"/>
        </w:rPr>
        <w:t xml:space="preserve">– метод расчета питания грунтовых вод по результатам мониторинга их уровня; </w:t>
      </w:r>
    </w:p>
    <w:p w:rsidR="00EA7714" w:rsidRDefault="008B600A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 w:rsidRPr="00EA7714">
        <w:rPr>
          <w:rFonts w:ascii="Times New Roman" w:hAnsi="Times New Roman" w:cs="Times New Roman"/>
          <w:sz w:val="28"/>
          <w:szCs w:val="28"/>
        </w:rPr>
        <w:t xml:space="preserve">– метод расчета расхода подземного потока по формулам динамики подземных вод (формула Дарси). </w:t>
      </w: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Гидрометрический метод основан на определении разности расходов реки в </w:t>
      </w:r>
      <w:r>
        <w:rPr>
          <w:rFonts w:ascii="Times New Roman" w:hAnsi="Times New Roman" w:cs="Times New Roman"/>
          <w:sz w:val="28"/>
          <w:szCs w:val="28"/>
        </w:rPr>
        <w:t>двух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гидрометрических створах (см. рис. 1) </w:t>
      </w: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7714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7714" w:rsidRDefault="008B600A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 w:rsidRPr="00EA7714">
        <w:rPr>
          <w:rFonts w:ascii="Times New Roman" w:hAnsi="Times New Roman" w:cs="Times New Roman"/>
          <w:sz w:val="28"/>
          <w:szCs w:val="28"/>
        </w:rPr>
        <w:lastRenderedPageBreak/>
        <w:t xml:space="preserve">16 Рис. 1. Площадь участка определения естественных ресурсов подземных вод </w:t>
      </w:r>
    </w:p>
    <w:p w:rsidR="00421EB8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Суммарная разгрузка подземных вод в пределах участка определяется по формуле: </w:t>
      </w:r>
    </w:p>
    <w:p w:rsidR="00421EB8" w:rsidRPr="006B2EE5" w:rsidRDefault="008B600A" w:rsidP="00421EB8">
      <w:pPr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 w:rsidRPr="00EA7714">
        <w:rPr>
          <w:rFonts w:ascii="Cambria Math" w:hAnsi="Cambria Math" w:cs="Cambria Math"/>
          <w:sz w:val="28"/>
          <w:szCs w:val="28"/>
        </w:rPr>
        <w:t>𝑄</w:t>
      </w:r>
      <w:r w:rsidRPr="00EA7714">
        <w:rPr>
          <w:rFonts w:ascii="Times New Roman" w:hAnsi="Times New Roman" w:cs="Times New Roman"/>
          <w:sz w:val="28"/>
          <w:szCs w:val="28"/>
        </w:rPr>
        <w:t>1−</w:t>
      </w:r>
      <w:r w:rsidRPr="00EA7714">
        <w:rPr>
          <w:rFonts w:ascii="Cambria Math" w:hAnsi="Cambria Math" w:cs="Cambria Math"/>
          <w:sz w:val="28"/>
          <w:szCs w:val="28"/>
        </w:rPr>
        <w:t>𝑄</w:t>
      </w:r>
      <w:r w:rsidRPr="00EA7714">
        <w:rPr>
          <w:rFonts w:ascii="Times New Roman" w:hAnsi="Times New Roman" w:cs="Times New Roman"/>
          <w:sz w:val="28"/>
          <w:szCs w:val="28"/>
        </w:rPr>
        <w:t>2</w:t>
      </w:r>
      <w:r w:rsidR="00421EB8">
        <w:rPr>
          <w:rFonts w:ascii="Times New Roman" w:hAnsi="Times New Roman" w:cs="Times New Roman"/>
          <w:sz w:val="28"/>
          <w:szCs w:val="28"/>
        </w:rPr>
        <w:t xml:space="preserve"> /</w:t>
      </w:r>
      <w:r w:rsidRPr="00EA7714">
        <w:rPr>
          <w:rFonts w:ascii="Times New Roman" w:hAnsi="Times New Roman" w:cs="Times New Roman"/>
          <w:sz w:val="28"/>
          <w:szCs w:val="28"/>
        </w:rPr>
        <w:t xml:space="preserve"> </w:t>
      </w:r>
      <w:r w:rsidRPr="00EA7714">
        <w:rPr>
          <w:rFonts w:ascii="Cambria Math" w:hAnsi="Cambria Math" w:cs="Cambria Math"/>
          <w:sz w:val="28"/>
          <w:szCs w:val="28"/>
        </w:rPr>
        <w:t>𝜏</w:t>
      </w:r>
      <w:r w:rsidRPr="00EA7714">
        <w:rPr>
          <w:rFonts w:ascii="Times New Roman" w:hAnsi="Times New Roman" w:cs="Times New Roman"/>
          <w:sz w:val="28"/>
          <w:szCs w:val="28"/>
        </w:rPr>
        <w:t xml:space="preserve"> = </w:t>
      </w:r>
      <w:r w:rsidRPr="00EA7714">
        <w:rPr>
          <w:rFonts w:ascii="Cambria Math" w:hAnsi="Cambria Math" w:cs="Cambria Math"/>
          <w:sz w:val="28"/>
          <w:szCs w:val="28"/>
        </w:rPr>
        <w:t>𝑀</w:t>
      </w:r>
      <w:r w:rsidR="006B2EE5">
        <w:rPr>
          <w:rFonts w:ascii="Cambria Math" w:hAnsi="Cambria Math" w:cs="Cambria Math"/>
          <w:sz w:val="28"/>
          <w:szCs w:val="28"/>
          <w:vertAlign w:val="subscript"/>
        </w:rPr>
        <w:t>п</w:t>
      </w:r>
    </w:p>
    <w:p w:rsidR="00421EB8" w:rsidRDefault="008B600A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 w:rsidRPr="00EA7714">
        <w:rPr>
          <w:rFonts w:ascii="Times New Roman" w:hAnsi="Times New Roman" w:cs="Times New Roman"/>
          <w:sz w:val="28"/>
          <w:szCs w:val="28"/>
        </w:rPr>
        <w:t xml:space="preserve">где </w:t>
      </w:r>
      <w:r w:rsidRPr="00EA7714">
        <w:rPr>
          <w:rFonts w:ascii="Cambria Math" w:hAnsi="Cambria Math" w:cs="Cambria Math"/>
          <w:sz w:val="28"/>
          <w:szCs w:val="28"/>
        </w:rPr>
        <w:t>𝑄</w:t>
      </w:r>
      <w:r w:rsidRPr="00EA7714">
        <w:rPr>
          <w:rFonts w:ascii="Times New Roman" w:hAnsi="Times New Roman" w:cs="Times New Roman"/>
          <w:sz w:val="28"/>
          <w:szCs w:val="28"/>
        </w:rPr>
        <w:t xml:space="preserve">1и </w:t>
      </w:r>
      <w:r w:rsidRPr="00EA7714">
        <w:rPr>
          <w:rFonts w:ascii="Cambria Math" w:hAnsi="Cambria Math" w:cs="Cambria Math"/>
          <w:sz w:val="28"/>
          <w:szCs w:val="28"/>
        </w:rPr>
        <w:t>𝑄</w:t>
      </w:r>
      <w:r w:rsidRPr="00EA7714">
        <w:rPr>
          <w:rFonts w:ascii="Times New Roman" w:hAnsi="Times New Roman" w:cs="Times New Roman"/>
          <w:sz w:val="28"/>
          <w:szCs w:val="28"/>
        </w:rPr>
        <w:t xml:space="preserve">2 – соответственно расход стока основной реки в выходном (№1) и </w:t>
      </w:r>
      <w:r w:rsidR="00421EB8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421EB8" w:rsidRDefault="00421EB8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8B600A" w:rsidRPr="00EA7714">
        <w:rPr>
          <w:rFonts w:ascii="Times New Roman" w:hAnsi="Times New Roman" w:cs="Times New Roman"/>
          <w:sz w:val="28"/>
          <w:szCs w:val="28"/>
        </w:rPr>
        <w:t>входном (№2) гидрометрическом створе, л/сек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21EB8" w:rsidRDefault="00421EB8" w:rsidP="00EA7714"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τ – </w:t>
      </w:r>
      <w:r w:rsidR="006B2EE5" w:rsidRPr="00EA7714">
        <w:rPr>
          <w:rFonts w:ascii="Times New Roman" w:hAnsi="Times New Roman" w:cs="Times New Roman"/>
          <w:sz w:val="28"/>
          <w:szCs w:val="28"/>
        </w:rPr>
        <w:t xml:space="preserve">площадь </w:t>
      </w:r>
      <w:r w:rsidR="006B2EE5">
        <w:rPr>
          <w:rFonts w:ascii="Times New Roman" w:hAnsi="Times New Roman" w:cs="Times New Roman"/>
          <w:sz w:val="28"/>
          <w:szCs w:val="28"/>
        </w:rPr>
        <w:t>участка</w:t>
      </w:r>
      <w:r w:rsidR="008B600A" w:rsidRPr="00EA7714">
        <w:rPr>
          <w:rFonts w:ascii="Times New Roman" w:hAnsi="Times New Roman" w:cs="Times New Roman"/>
          <w:sz w:val="28"/>
          <w:szCs w:val="28"/>
        </w:rPr>
        <w:t>, км</w:t>
      </w:r>
      <w:r w:rsidR="008B600A" w:rsidRPr="00EA7714">
        <w:rPr>
          <w:rFonts w:ascii="Times New Roman" w:hAnsi="Times New Roman" w:cs="Times New Roman"/>
          <w:sz w:val="32"/>
          <w:szCs w:val="32"/>
          <w:vertAlign w:val="superscript"/>
        </w:rPr>
        <w:t>2</w:t>
      </w:r>
      <w:r>
        <w:rPr>
          <w:rFonts w:ascii="Times New Roman" w:hAnsi="Times New Roman" w:cs="Times New Roman"/>
          <w:sz w:val="32"/>
          <w:szCs w:val="32"/>
        </w:rPr>
        <w:t>;</w:t>
      </w:r>
    </w:p>
    <w:p w:rsidR="006B2EE5" w:rsidRDefault="008B600A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 w:rsidRPr="00EA7714">
        <w:rPr>
          <w:rFonts w:ascii="Times New Roman" w:hAnsi="Times New Roman" w:cs="Times New Roman"/>
          <w:sz w:val="28"/>
          <w:szCs w:val="28"/>
        </w:rPr>
        <w:t xml:space="preserve"> </w:t>
      </w:r>
      <w:r w:rsidR="006B2EE5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EA7714">
        <w:rPr>
          <w:rFonts w:ascii="Times New Roman" w:hAnsi="Times New Roman" w:cs="Times New Roman"/>
          <w:sz w:val="28"/>
          <w:szCs w:val="28"/>
        </w:rPr>
        <w:t>Мп</w:t>
      </w:r>
      <w:proofErr w:type="spellEnd"/>
      <w:r w:rsidRPr="00EA7714">
        <w:rPr>
          <w:rFonts w:ascii="Times New Roman" w:hAnsi="Times New Roman" w:cs="Times New Roman"/>
          <w:sz w:val="28"/>
          <w:szCs w:val="28"/>
        </w:rPr>
        <w:t xml:space="preserve"> – площадной модуль естественных ресурсов в л/сек/км</w:t>
      </w:r>
      <w:r w:rsidRPr="00EA771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A771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2EE5" w:rsidRDefault="006B2EE5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>При необходимости можно определить линейный модуль участка по формуле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B2EE5" w:rsidRDefault="008B600A" w:rsidP="006B2EE5">
      <w:pPr>
        <w:jc w:val="center"/>
        <w:rPr>
          <w:rFonts w:ascii="Times New Roman" w:hAnsi="Times New Roman" w:cs="Times New Roman"/>
          <w:sz w:val="28"/>
          <w:szCs w:val="28"/>
        </w:rPr>
      </w:pPr>
      <w:r w:rsidRPr="00EA7714">
        <w:rPr>
          <w:rFonts w:ascii="Cambria Math" w:hAnsi="Cambria Math" w:cs="Cambria Math"/>
          <w:sz w:val="28"/>
          <w:szCs w:val="28"/>
        </w:rPr>
        <w:t>𝑄</w:t>
      </w:r>
      <w:r w:rsidRPr="00EA7714">
        <w:rPr>
          <w:rFonts w:ascii="Times New Roman" w:hAnsi="Times New Roman" w:cs="Times New Roman"/>
          <w:sz w:val="28"/>
          <w:szCs w:val="28"/>
        </w:rPr>
        <w:t>1−</w:t>
      </w:r>
      <w:r w:rsidRPr="00EA7714">
        <w:rPr>
          <w:rFonts w:ascii="Cambria Math" w:hAnsi="Cambria Math" w:cs="Cambria Math"/>
          <w:sz w:val="28"/>
          <w:szCs w:val="28"/>
        </w:rPr>
        <w:t>𝑄</w:t>
      </w:r>
      <w:r w:rsidRPr="00EA7714">
        <w:rPr>
          <w:rFonts w:ascii="Times New Roman" w:hAnsi="Times New Roman" w:cs="Times New Roman"/>
          <w:sz w:val="28"/>
          <w:szCs w:val="28"/>
        </w:rPr>
        <w:t xml:space="preserve">2 </w:t>
      </w:r>
      <w:r w:rsidRPr="00EA7714">
        <w:rPr>
          <w:rFonts w:ascii="Cambria Math" w:hAnsi="Cambria Math" w:cs="Cambria Math"/>
          <w:sz w:val="28"/>
          <w:szCs w:val="28"/>
        </w:rPr>
        <w:t>𝑟</w:t>
      </w:r>
      <w:r w:rsidRPr="00EA7714">
        <w:rPr>
          <w:rFonts w:ascii="Times New Roman" w:hAnsi="Times New Roman" w:cs="Times New Roman"/>
          <w:sz w:val="28"/>
          <w:szCs w:val="28"/>
        </w:rPr>
        <w:t xml:space="preserve"> = Мл</w:t>
      </w:r>
    </w:p>
    <w:p w:rsidR="00EA7714" w:rsidRDefault="008B600A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 w:rsidRPr="00EA7714">
        <w:rPr>
          <w:rFonts w:ascii="Times New Roman" w:hAnsi="Times New Roman" w:cs="Times New Roman"/>
          <w:sz w:val="28"/>
          <w:szCs w:val="28"/>
        </w:rPr>
        <w:t xml:space="preserve">где </w:t>
      </w:r>
      <w:r w:rsidRPr="00EA7714">
        <w:rPr>
          <w:rFonts w:ascii="Cambria Math" w:hAnsi="Cambria Math" w:cs="Cambria Math"/>
          <w:sz w:val="28"/>
          <w:szCs w:val="28"/>
        </w:rPr>
        <w:t>𝑟</w:t>
      </w:r>
      <w:r w:rsidRPr="00EA7714">
        <w:rPr>
          <w:rFonts w:ascii="Times New Roman" w:hAnsi="Times New Roman" w:cs="Times New Roman"/>
          <w:sz w:val="28"/>
          <w:szCs w:val="28"/>
        </w:rPr>
        <w:t xml:space="preserve"> – длина реки от створа №1 до створа №2.</w:t>
      </w:r>
    </w:p>
    <w:p w:rsidR="006B2EE5" w:rsidRDefault="00EA7714" w:rsidP="00EA77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B600A" w:rsidRPr="00EA7714">
        <w:rPr>
          <w:rFonts w:ascii="Times New Roman" w:hAnsi="Times New Roman" w:cs="Times New Roman"/>
          <w:sz w:val="28"/>
          <w:szCs w:val="28"/>
        </w:rPr>
        <w:t xml:space="preserve"> Для дифференциации площади участка по величине площадного модуля дополнительно определяется расход притоков реки (№3 и №4) и их водосборной площади (τ1 и τ2). Эти промежуточные расчеты позволяют расчленить площадь участка путем расчета локальных модулей естественных ресурсов (М1…М4) по формуле</w:t>
      </w:r>
      <w:r w:rsidR="006B2EE5">
        <w:rPr>
          <w:rFonts w:ascii="Times New Roman" w:hAnsi="Times New Roman" w:cs="Times New Roman"/>
          <w:sz w:val="28"/>
          <w:szCs w:val="28"/>
        </w:rPr>
        <w:t>:</w:t>
      </w:r>
    </w:p>
    <w:p w:rsidR="00F07B99" w:rsidRPr="00EA7714" w:rsidRDefault="008B600A" w:rsidP="006B2EE5">
      <w:pPr>
        <w:jc w:val="center"/>
        <w:rPr>
          <w:rFonts w:ascii="Times New Roman" w:hAnsi="Times New Roman" w:cs="Times New Roman"/>
          <w:sz w:val="28"/>
          <w:szCs w:val="28"/>
        </w:rPr>
      </w:pPr>
      <w:r w:rsidRPr="00EA7714">
        <w:rPr>
          <w:rFonts w:ascii="Cambria Math" w:hAnsi="Cambria Math" w:cs="Cambria Math"/>
          <w:sz w:val="28"/>
          <w:szCs w:val="28"/>
        </w:rPr>
        <w:t>𝑀𝑖</w:t>
      </w:r>
      <w:r w:rsidRPr="00EA7714">
        <w:rPr>
          <w:rFonts w:ascii="Times New Roman" w:hAnsi="Times New Roman" w:cs="Times New Roman"/>
          <w:sz w:val="28"/>
          <w:szCs w:val="28"/>
        </w:rPr>
        <w:t xml:space="preserve"> = </w:t>
      </w:r>
      <w:r w:rsidRPr="00EA7714">
        <w:rPr>
          <w:rFonts w:ascii="Cambria Math" w:hAnsi="Cambria Math" w:cs="Cambria Math"/>
          <w:sz w:val="28"/>
          <w:szCs w:val="28"/>
        </w:rPr>
        <w:t>𝑄𝑖</w:t>
      </w:r>
      <w:r w:rsidRPr="00EA7714">
        <w:rPr>
          <w:rFonts w:ascii="Times New Roman" w:hAnsi="Times New Roman" w:cs="Times New Roman"/>
          <w:sz w:val="28"/>
          <w:szCs w:val="28"/>
        </w:rPr>
        <w:t xml:space="preserve"> </w:t>
      </w:r>
      <w:r w:rsidR="006B2EE5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EA7714">
        <w:rPr>
          <w:rFonts w:ascii="Cambria Math" w:hAnsi="Cambria Math" w:cs="Cambria Math"/>
          <w:sz w:val="28"/>
          <w:szCs w:val="28"/>
        </w:rPr>
        <w:t>𝜏𝑖</w:t>
      </w:r>
      <w:r w:rsidRPr="00EA771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F07B99" w:rsidRPr="00EA7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CF3"/>
    <w:rsid w:val="00345CF3"/>
    <w:rsid w:val="00421EB8"/>
    <w:rsid w:val="00684E3E"/>
    <w:rsid w:val="006B2EE5"/>
    <w:rsid w:val="008B600A"/>
    <w:rsid w:val="00C32848"/>
    <w:rsid w:val="00C62E43"/>
    <w:rsid w:val="00EA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BDDD1"/>
  <w15:chartTrackingRefBased/>
  <w15:docId w15:val="{E28BAC45-E8B2-4203-A299-AF2AEB762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6</cp:revision>
  <dcterms:created xsi:type="dcterms:W3CDTF">2022-09-27T05:15:00Z</dcterms:created>
  <dcterms:modified xsi:type="dcterms:W3CDTF">2022-09-27T08:42:00Z</dcterms:modified>
</cp:coreProperties>
</file>