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B384DF"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12-бөлім. Жобаларды басқарудың функционалдық салалары</w:t>
      </w:r>
    </w:p>
    <w:p w14:paraId="57FD376D"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p>
    <w:p w14:paraId="28443753"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12. 1 жобаның пәндік саласын басқару</w:t>
      </w:r>
    </w:p>
    <w:p w14:paraId="5C0B461D"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Кез келген жобаны басқару кезінде қызметтің 2 түрін бір мезгілде орындау туралы есте сақтау маңызды: өнімді немесе жобаның нәтижесін тікелей жасау (үй салу, қызмет көрсету немесе коммерциялық өнім жасау, бизнесті қайта құрылымдау және т. б.) және осы құру процесін немесе әкімшілік қызметті басқару бойынша, бұған дейін қаралған сияқты.</w:t>
      </w:r>
    </w:p>
    <w:p w14:paraId="378DB402"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Бірінші қызмет түрі жобаның пәндік саласын басқару немесе пәндік-бағдарлы басқару, екінші — жобалық-бағдарлы басқару деп аталады.</w:t>
      </w:r>
    </w:p>
    <w:p w14:paraId="523F72AA"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Жобаның пәндік саласы жобаның мақсаттарын, міндеттерін, жұмыстарын, олардың көлемі мен тұтынылатын ресурстарын анықтайды. Жобаның өмір сүру процесінде жобаның пәндік саласының барлық құрамдас бөліктері өзгерістерге ұшырайды:</w:t>
      </w:r>
    </w:p>
    <w:p w14:paraId="671EB79A"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жұмыстың мақсаттары, міндеттері және құрамы жобаны әзірлеу процесінде де, аралық нәтижелерге қол жеткізуге қарай да өзгеруі немесе нақтылануы мүмкін;</w:t>
      </w:r>
    </w:p>
    <w:p w14:paraId="2076729A"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жұмыс көлемі жобаны әзірлеу процесінде нақтылануы мүмкін, ал жобаны орындау процесінде "олар жоба жұмысы аяқталған кезде нөлден 100% - ға дейін өзгереді;</w:t>
      </w:r>
    </w:p>
    <w:p w14:paraId="7B1747BF"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тұтынылатын материалдық ресурстар жұмыс сияқты өзгереді. Пәндік саланы басқару және осы өзгерістерді басқару болып табылады және мақсаттарды анықтау, өңдеу процестері арқылы жүзеге асырылады</w:t>
      </w:r>
    </w:p>
    <w:p w14:paraId="4728675E"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p>
    <w:p w14:paraId="74125A16"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жобаны жоспарлау, есепке алу, орындау мен аяқтауды бақылау.</w:t>
      </w:r>
    </w:p>
    <w:p w14:paraId="7F16EF21"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Басқару құралы ретінде мұнда жобаның желілік кестесі қолданылуы мүмкін.</w:t>
      </w:r>
    </w:p>
    <w:p w14:paraId="2DE0CFFB"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12.2 уақытша параметрлер бойынша жобаны басқару</w:t>
      </w:r>
    </w:p>
    <w:p w14:paraId="2497A7ED"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Уақыт жобаның табысты бағалаудағы айқындаушы факторлардың бірі болып табылады. Жобаның негізгі ресурсы бола отырып, ол ерекше назар аударуды талап етеді, өйткені жоғалған уақытты толтыру мүмкін емес.</w:t>
      </w:r>
    </w:p>
    <w:p w14:paraId="6911FD78"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Уақытты басқару функциясы жобаны және оның бөліктерін уақытша талдау, жұмыстарды Күнтізбелік жоспарлау, жұмыстарды орындау кестелерін бақылау, оларды өзектендіру және түзету процестері арқылы іске асырылады.</w:t>
      </w:r>
    </w:p>
    <w:p w14:paraId="7235E4A5"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Уақытша параметрлер бойынша жобаны басқарудың ең маңызды аспектісі оның сипаты мен қажетті ресурстарын ескере отырып, жұмысты орындау үшін талап етілетін уақытты (сағат, күн, апта, ай, жыл) бағалау болып табылады. Жұмыстардың ұзақтығын бағалауға уақыт бойынша шектеулер, еңбек ресурстарына қажеттіліктің болжамдары, олардың біліктілігі мен алдыңғы жобаларды (жобалардың фрагменттері) орындау тәжірибесі әсер етеді.</w:t>
      </w:r>
    </w:p>
    <w:p w14:paraId="1891780B"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Жұмыстардың ұзақтығын бағалаудың негізгі әдістері:</w:t>
      </w:r>
    </w:p>
    <w:p w14:paraId="1FB6F944"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сараптамалық баға;</w:t>
      </w:r>
    </w:p>
    <w:p w14:paraId="4985732E"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сондай-ақ жоғарыдан төмен баға деп аталатын аналогтар бойынша бағалау болашақта ұқсас жұмыстың ұзақтығын бағалау үшін база ретінде бұрын орын алған жұмыстың шынайы ұзақтығын пайдалануды білдіреді. Бұл бағалау жобалар біртектес болып табылғанда және бағалауды жүзеге асыратын тұлғалардың қажетті тәжірибесі болғанда неғұрлым сенімді;</w:t>
      </w:r>
    </w:p>
    <w:p w14:paraId="1FA07E82"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имитация (модельдеу). Имитация әртүрлі жорамалдар жиынында ұзақтықты есептеу болып табылады. Монте-Карло талдауы кеңінен таралған, онда мүмкін нәтижелерді бөлу әрбір жұмыс үшін анықталады және жалпы жоба үшін мүмкін нәтижелерді бөлуді есептеу ретінде пайдаланылады;</w:t>
      </w:r>
    </w:p>
    <w:p w14:paraId="6B22100C"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орындау пайызы-жұмыстың аяқталған бөлігінің үлесі пайызбен;</w:t>
      </w:r>
    </w:p>
    <w:p w14:paraId="14CE9FDD"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Орындалатын жұмыстардың қалған ұзақтығы. Орындау пайызына қарай не бағалау жолымен есептеледі;</w:t>
      </w:r>
    </w:p>
    <w:p w14:paraId="55D78C5E"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күнтізбе-жобада жұмысты орындау үшін қабылданған жұмыс және жұмыс емес кезеңдер тізімі;</w:t>
      </w:r>
    </w:p>
    <w:p w14:paraId="4930DCFF"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ерте басталуы мен аяқталуы, кеш басталуы мен аяқталуы;</w:t>
      </w:r>
    </w:p>
    <w:p w14:paraId="729AFD39"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уақыт қоры - еркін және толық. Бос резерв барлық келесі жұмыстардың ерте басталуын өзгертпей, жұмыстардың орындалуын кідіртуге болатын уақытты анықтайды. Толық резерв бүкіл жобаның ұзақтығы немесе аяқталу мерзімі өзгертілмей жұмыстың орындалуы кешіктірілуі мүмкін уақытты анықтайды. Жұмыстың кеш және ерте аяқталу мерзімдерінің арасындағы айырмашылық ретінде анықталады</w:t>
      </w:r>
    </w:p>
    <w:p w14:paraId="3EF164B3"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нақты басталуы мен аяқталуы-жұмыстың басталуы мен аяқталуының нақты күндері;</w:t>
      </w:r>
    </w:p>
    <w:p w14:paraId="4DB0FD92"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p>
    <w:p w14:paraId="19FC9C03"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lastRenderedPageBreak/>
        <w:t>- алдыңғы жұмыс — Технологиялық (логикалық) алдыңғы жұмыс болып табылатын осы жұмысты орындау мерзімі тәуелді болатын жұмыс;</w:t>
      </w:r>
    </w:p>
    <w:p w14:paraId="0AF9EDFE"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келесі жұмыс-орындау мерзімі осы жұмыстың орындалуына байланысты, технологиялық (логикалық) келесі жұмыс.</w:t>
      </w:r>
    </w:p>
    <w:p w14:paraId="312BE704"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12.3 жобаның құны мен қаржысын басқару</w:t>
      </w:r>
    </w:p>
    <w:p w14:paraId="7C4A51B3"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Нарықтық экономикада құн факторы жобаны жүзеге асыруда және оның нәтижелерін бағалауда айқындаушы болып табылады, сондықтан құн жобаларды басқарудағы негізгі объектілердің бірі болып табылады.</w:t>
      </w:r>
    </w:p>
    <w:p w14:paraId="4A2D4AA5"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Құнды басқару функциясы жобаға байланысты шығыстарды алдын ала бағалауды, шығыстар сметасын, қаржыландыру көздерін және жоба бюджетін айқындауды, ақша ағындарын жоспарлауды, кірістер мен пайданы болжауды, ақша қаражатының жұмсалуы мен түсуін бақылауды және шығыстар асып кеткен және қаржы жоспарларынан басқа да ауытқулар жағдайында шешімдер қабылдауды қамтиды.</w:t>
      </w:r>
    </w:p>
    <w:p w14:paraId="46957747"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Құны басқармасының басты міндеті жобаның бюджеттік шеңберін сақтау және оны жүзеге асырудан көзделген пайда алу болып табылады. Құнды басқару негізіне қалыптасуы әлі аяқталмаған тұрақсыз экономика жағдайында жобаларға инвестициялардың тиімділігін айқындау әдістері алынуға тиіс. Нарық жағдайында құнды басқару әдістері мен техникасы әдебиетте кеңінен қамтылған.</w:t>
      </w:r>
    </w:p>
    <w:p w14:paraId="6F0DC8BD"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Жобаның құнын оның өмірлік циклі ішінде бөлу біркелкі емес және әдетте құрылымы бар.</w:t>
      </w:r>
    </w:p>
    <w:p w14:paraId="7EDAF4B7"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Жобаның өмірлік циклінің кезеңіне және бағалау мақсаттарына байланысты жоба құнын бағалаудың әртүрлі түрлері мен әдістерін қолданады. Бағалау мақсатына сүйене отырып, мұндай бағалардың дәлдігі де әртүрлі болады.</w:t>
      </w:r>
    </w:p>
    <w:p w14:paraId="30EB0CA3"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Құнды бағалау жобаның ресурстары мен жұмыстарының құрылымын анықтаудан басталады.</w:t>
      </w:r>
    </w:p>
    <w:p w14:paraId="4450A24E"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Бұл міндеттер жобаны жоспарлау шеңберінде шешіледі, ал құнды басқару жүйесіне (құнды бағалау модулі) Осы процесті орындау нәтижелері түсуі тиіс.</w:t>
      </w:r>
    </w:p>
    <w:p w14:paraId="646F630D"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Жобаның құны жұмыстарды орындау үшін қажетті ресурстармен анықталады, оның ішінде: жабдықтар (сатып алу, жалға алу, лизинг); құрылғылар, Құрылғылар және өндірістік қуаттар; жұмыс еңбегі (келісім-шарт бойынша жалға алынған штаттық қызметкерлер); Шығыс тауарлары (кеңсе заттары және т. б.); материалдар; оқыту, семинарлар, конференциялар; қосалқы келісім-шарттар; тасымалдау және т. б.</w:t>
      </w:r>
    </w:p>
    <w:p w14:paraId="0D183254" w14:textId="135F13B7" w:rsidR="00B953B7"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Барлық шығындарды: тікелей және үстеме шығыстар; қайталанатын және біржолғы; жұмыс көлеміне тәуелді белгісі бойынша тұрақты және ауыспалы; үстеме жұмыс уақыты үшін ақы ретінде жіктеуге болады. Жобаның құнын бағалау шын мәнінде жобаны табысты және толық іске асыру үшін қажетті барлық шығындарды бағалау болып табылады. Бұл шығындар түрлі экономикалық боялған түрлі көріністер болуы мүмкін</w:t>
      </w:r>
    </w:p>
    <w:p w14:paraId="1FE246F4"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Бұл ретте мұндай көріністер арасындағы айырмашылықтар кейде өте жұқа болады.</w:t>
      </w:r>
    </w:p>
    <w:p w14:paraId="46C8BE8E"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Шығындардың үш түрі бар: міндеттемелер; Бюджеттік шығындар (уақыт бойынша бөлінген жұмыстардың сметалық құны); нақты шығындар (қолма-қол ақшаның кетуі).</w:t>
      </w:r>
    </w:p>
    <w:p w14:paraId="1E43251B"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Жобаның өмірлік циклінің құрылымын негізге ала отырып, оның құны мынадай құрамдас бөліктерді қамтиды:</w:t>
      </w:r>
    </w:p>
    <w:p w14:paraId="10F33648"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зерттеулер мен әзірлемелердің құны: инвестиция алдындағы зерттеулер жүргізу, шығындар мен пайданы талдау, жүйелік талдау, өнімнің тәжірибелік үлгілерін егжей-тегжейлі жобалау және әзірлеу, жоба өнімін алдын ала бағалау, өнімге жобалық және басқа құжаттаманы әзірлеу;</w:t>
      </w:r>
    </w:p>
    <w:p w14:paraId="5D7627D8"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өндіріске шығындар: жоба өнімін өндіру, құрастыру және тестілеу, өндірістік қуаттарды қолдау, материалдық-техникалық қамтамасыз ету, қызметкерлерді оқыту және т. б.;</w:t>
      </w:r>
    </w:p>
    <w:p w14:paraId="18E37272"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құрылыс шығындары: өндірістік және әкімшілік Үй-жайлар (жаңа құрылыс немесе ескі үйлерді қайта жаңарту));</w:t>
      </w:r>
    </w:p>
    <w:p w14:paraId="68AA453F"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ағымдағы шығындар: жалақы, материалдар мен жартылай фабрикаттар, тасымалдау, ақпаратты басқару, сапаны бақылау және т. б.;</w:t>
      </w:r>
    </w:p>
    <w:p w14:paraId="672F66D0"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өнімді өндірістен шығару: өндірістік қуаттарды қайта жабдықтауға, Қалдықтарды кәдеге жаратуға арналған шығындар.</w:t>
      </w:r>
    </w:p>
    <w:p w14:paraId="20882D1B"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Кәсіпорынның ақша ағындарын басқару процесі белгілі бір принциптерге негізделеді, олардың негізгілері:</w:t>
      </w:r>
    </w:p>
    <w:p w14:paraId="23371BBC"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ақпараттық нақтылық принципі. Ақпараттық базаны құру белгілі бір қиындықтарды білдіреді, өйткені бухгалтерлік есептің бірыңғай әдістемелік қағидаттарына негізделген тікелей қаржылық есептілік жоқ.</w:t>
      </w:r>
    </w:p>
    <w:p w14:paraId="142FB43F"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 теңгерімділікті қамтамасыз ету принципі. Кәсіпорынның ақша ағындарын басқару олардың </w:t>
      </w:r>
      <w:r w:rsidRPr="00770E3F">
        <w:rPr>
          <w:rFonts w:ascii="Times New Roman" w:eastAsia="Times New Roman" w:hAnsi="Times New Roman" w:cs="Times New Roman"/>
          <w:sz w:val="20"/>
          <w:szCs w:val="20"/>
          <w:lang w:eastAsia="ru-RU" w:bidi="ru-RU"/>
        </w:rPr>
        <w:lastRenderedPageBreak/>
        <w:t>классификациясы барысында қарастырылған көптеген түрлері мен әртүрлерімен айналысады. Олардың басқарудың бірыңғай мақсаттары мен міндеттеріне бағынуы кәсіпорынның ақша ағындарының түрлері, көлемі, уақытша интервалдары және басқа да елеулі сипаттамалары бойынша теңдестірілуін қамтамасыз етуді талап етеді. Бұл қағидатты іске асыру оларды басқару процесінде кәсіпорынның ақша ағындарын оңтайландырумен байланысты.</w:t>
      </w:r>
    </w:p>
    <w:p w14:paraId="05228A2A"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 тиімділікті қамтамасыз ету принципі. Кәсіпорынның ақша ағындары жекелеген уақыт аралықтары бөлінісінде ақша қаражатының түсуі мен жұмсалуының біркелкі еместігімен </w:t>
      </w:r>
      <w:proofErr w:type="gramStart"/>
      <w:r w:rsidRPr="00770E3F">
        <w:rPr>
          <w:rFonts w:ascii="Times New Roman" w:eastAsia="Times New Roman" w:hAnsi="Times New Roman" w:cs="Times New Roman"/>
          <w:sz w:val="20"/>
          <w:szCs w:val="20"/>
          <w:lang w:eastAsia="ru-RU" w:bidi="ru-RU"/>
        </w:rPr>
        <w:t>сипатталады,бұл</w:t>
      </w:r>
      <w:proofErr w:type="gramEnd"/>
      <w:r w:rsidRPr="00770E3F">
        <w:rPr>
          <w:rFonts w:ascii="Times New Roman" w:eastAsia="Times New Roman" w:hAnsi="Times New Roman" w:cs="Times New Roman"/>
          <w:sz w:val="20"/>
          <w:szCs w:val="20"/>
          <w:lang w:eastAsia="ru-RU" w:bidi="ru-RU"/>
        </w:rPr>
        <w:t xml:space="preserve"> кәсіпорынның уақытша бос ақша активтерінің едәуір көлемін қалыптастыруға әкеледі. Мәні бойынша ақша қаражатының уақытша бос қалдықтары өндірістік емес активтердің (оларды шаруашылық процесінде пайдалану сәтіне дейін) сипатына ие болады, олар өз құнын уақытпен, инфляциядан және басқа да себептермен жоғалтады.</w:t>
      </w:r>
    </w:p>
    <w:p w14:paraId="191B265B"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Кәсіпорынның ақша ағындарын басқарудың ең маңызды және күрделі кезеңдерінің бірі оларды оңтайландыру болып табылады.</w:t>
      </w:r>
    </w:p>
    <w:p w14:paraId="7A311248"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Ақша ағындарын оңтайландыру оның шаруашылық қызметін жүзеге асыру шарттары мен ерекшеліктерін ескере отырып, кәсіпорында оларды ұйымдастырудың ең жақсы нысандарын таңдау процесін білдіреді.</w:t>
      </w:r>
    </w:p>
    <w:p w14:paraId="47973E7B"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Оңтайландырудың негізгі мақсаттары:</w:t>
      </w:r>
    </w:p>
    <w:p w14:paraId="1044C4EF"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ақша ағындарының тепе-теңдігін қамтамасыз ету;</w:t>
      </w:r>
    </w:p>
    <w:p w14:paraId="3943CCE8"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уақыт ішінде ақша ағындарын қалыптастырудың синхрондылығын қамтамасыз ету;</w:t>
      </w:r>
    </w:p>
    <w:p w14:paraId="7918B014"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кәсіпорынның таза ақша ағынының өсуін қамтамасыз ету.</w:t>
      </w:r>
    </w:p>
    <w:p w14:paraId="4327DA43"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Оңтайландырудың негізгі объектілері болып мыналар табылады: оң ақша ағыны; теріс ақша ағыны; ақша активтерінің </w:t>
      </w:r>
      <w:proofErr w:type="gramStart"/>
      <w:r w:rsidRPr="00770E3F">
        <w:rPr>
          <w:rFonts w:ascii="Times New Roman" w:eastAsia="Times New Roman" w:hAnsi="Times New Roman" w:cs="Times New Roman"/>
          <w:sz w:val="20"/>
          <w:szCs w:val="20"/>
          <w:lang w:eastAsia="ru-RU" w:bidi="ru-RU"/>
        </w:rPr>
        <w:t>қалдығы;таза</w:t>
      </w:r>
      <w:proofErr w:type="gramEnd"/>
      <w:r w:rsidRPr="00770E3F">
        <w:rPr>
          <w:rFonts w:ascii="Times New Roman" w:eastAsia="Times New Roman" w:hAnsi="Times New Roman" w:cs="Times New Roman"/>
          <w:sz w:val="20"/>
          <w:szCs w:val="20"/>
          <w:lang w:eastAsia="ru-RU" w:bidi="ru-RU"/>
        </w:rPr>
        <w:t xml:space="preserve"> ақша ағыны.</w:t>
      </w:r>
    </w:p>
    <w:p w14:paraId="6AED24DD"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Кәсіпорынның ақша ағындарын оңтайландырудың негізін олардың оң және теріс түрлерінің көлемдерінің теңгерімділігін қамтамасыз ету құрайды.</w:t>
      </w:r>
    </w:p>
    <w:p w14:paraId="26AC1B09"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Тапшы ақша ағынының теріс салдары кәсіпорынның өтімділігінің және төлем қабілеттілігі деңгейінің төмендеуінен, шикізат пен материалдарды жеткізушілерге мерзімі өткен кредиторлық берешектің өсуінен, алынған қаржы несиелері бойынша мерзімі өткен берешек үлесінің артуынан, жалақы төлеудің кідіртілуінен, қаржы циклі ұзақтығының өсуінен, ал ақырында – кәсіпорынның меншікті капиталы мен активтерін пайдаланудың рентабельділігінің төмендеуінен көрінеді.</w:t>
      </w:r>
    </w:p>
    <w:p w14:paraId="3395FFB6"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Артық ақша ағынының теріс салдары инфляциядан уақытша пайдаланылмаған ақша қаражатының нақты құнын жоғалтуда, оларды қысқа мерзімді инвестициялау саласындағы ақша активтерінің пайдаланылмайтын бөлігінен әлеуетті кірісті жоғалтуда көрінеді.</w:t>
      </w:r>
    </w:p>
    <w:p w14:paraId="1C7FC1FC"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Тапшы ақша ағынын оңтайландыру әдістері осы тапшылық сипатына байланысты – қысқа мерзімді немесе ұзақ мерзімді.</w:t>
      </w:r>
    </w:p>
    <w:p w14:paraId="6C41A45B"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Ұзақ мерзімді кезеңде оң ақша ағыны көлемінің өсуі.</w:t>
      </w:r>
    </w:p>
    <w:p w14:paraId="2D4B1FA9"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Артық ақша ағынын оңтайландыру әдістері оның инвестициялық белсенділігінің өсуін қамтамасыз етумен байланысты:</w:t>
      </w:r>
    </w:p>
    <w:p w14:paraId="360A5FC0"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айналымнан тыс операциялық активтердің кеңейтілген өсімін молайту көлемін ұлғайту.</w:t>
      </w:r>
    </w:p>
    <w:p w14:paraId="47081BEC"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нақты инвестициялық жобаларды әзірлеу кезеңін жеделдету және оларды іске асыруды бастау.</w:t>
      </w:r>
    </w:p>
    <w:p w14:paraId="1D23F80A"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кәсіпорынның операциялық қызметін аймақтық әртараптандыруды жүзеге асыру.</w:t>
      </w:r>
    </w:p>
    <w:p w14:paraId="07EF602B"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қаржылық инвестициялар қоржынын Белсенді қалыптастыру.</w:t>
      </w:r>
    </w:p>
    <w:p w14:paraId="0548FE82"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ұзақ мерзімді қаржылық кредиттерді ұзақ мерзімді өтеу.</w:t>
      </w:r>
    </w:p>
    <w:p w14:paraId="5C586D22"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w:t>
      </w:r>
    </w:p>
    <w:p w14:paraId="475F9C20"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12.4 жобада сапаны басқару</w:t>
      </w:r>
    </w:p>
    <w:p w14:paraId="39F54B3F"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Басқару функциясы, жобаның сапасы бүкіл өмірлік циклді, жобаның барлық жақтары мен элементтерін қамтиды: жобалық, ұйымдастырушылық және басқарушылық шешімдер; пайдаланылатын материалдар, жабдықтар, шикізат және т. б.</w:t>
      </w:r>
    </w:p>
    <w:p w14:paraId="12547EA4"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p>
    <w:p w14:paraId="4E8B0962"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іске асыру кезінде орындалатын жұмыстардың сапасы; жобаның алынған нәтижелерінің сапасы (Өнім, көрсетілетін қызметтер).</w:t>
      </w:r>
    </w:p>
    <w:p w14:paraId="46F3CA18"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Сапаны басқару жоба нәтижелерінің сапасына қойылатын талаптар мен стандарттарды белгілеу, бақылау және қолдау жүйесі арқылы жобаны іске асыру процесінде осы талаптардың орындалуын қамтамасыз ету арқылы іске асырылады. Сапаны басқару тәсілдері мен техникасы әртүрлі.</w:t>
      </w:r>
    </w:p>
    <w:p w14:paraId="119CDE3A"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Сапаны басқарудың заманауи жүйесінің негізі стандарттау - нормативтік құжаттармен ресімделген заңдық күші бар нормаларды, ережелер мен сипаттамаларды белгілеу бойынша қызмет болып </w:t>
      </w:r>
      <w:r w:rsidRPr="00770E3F">
        <w:rPr>
          <w:rFonts w:ascii="Times New Roman" w:eastAsia="Times New Roman" w:hAnsi="Times New Roman" w:cs="Times New Roman"/>
          <w:sz w:val="20"/>
          <w:szCs w:val="20"/>
          <w:lang w:eastAsia="ru-RU" w:bidi="ru-RU"/>
        </w:rPr>
        <w:lastRenderedPageBreak/>
        <w:t>табылады.</w:t>
      </w:r>
    </w:p>
    <w:p w14:paraId="4A0612F0"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Сапаны басқарудың халықаралық тәжірибесі ISO 9000 халықаралық стандарттар пакетінде жинақталған.</w:t>
      </w:r>
    </w:p>
    <w:p w14:paraId="6611600B"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"ISO / 176 техникалық комитеті (ISO / TC 176)", бүгінгі күні ISO 9000 стандарттарының жанұясы (сериясы) кез келген ұйымның тұрақты сапаға қол жеткізуінің негізін құрайды.</w:t>
      </w:r>
    </w:p>
    <w:p w14:paraId="439E848D"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ISO процедурасында сапаны басқару саласында қолданылатын ISO 9000 стандарттарын мерзімді редакциялау қарастырылған.</w:t>
      </w:r>
    </w:p>
    <w:p w14:paraId="334FE70C"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ISO 9000 сериялы стандарттар өнеркәсіп салаларынан тәуелсіз ретінде құрылды. Алайда, бүгінде ISO / TC 176 салалық ерекшелікті көрсететін құжаттар (нұсқаулар немесе стандарттар жобалары) есебінен ISO 9000 отбасын кеңейту бойынша жұмыс істейді.</w:t>
      </w:r>
    </w:p>
    <w:p w14:paraId="1B5F7853"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ISO 9000 стандарттары кәсіпорын қандай өнім шығаратынына немесе ол қандай қызмет көрсететініне қарамастан, сапа кепілдігін қамтамасыз ету бойынша жұмыстарды ұйымдастыру сәйкес келуі тиіс ең аз талаптарды қамтиды. Егер осы ұйымда басқару процестері іске асырылатын сапаны басқару жүйесі ISO стандарттарының талаптарына сәйкес келсе, онда тұтынушылар бұл фирманың өнімнің шығарылуын, жұмыстардың орындалуын немесе қажетті сапа деңгейінің қызмет көрсетуін қамтамасыз ету қабілетінің сенімді дәлелі ретінде қабылданады.</w:t>
      </w:r>
    </w:p>
    <w:p w14:paraId="3897CE23"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Біздің елімізде ISO 9000: МЕМСТ Р ИСО 9000-2001 Халықаралық Стандарттарына сәйкес келетін сапа бойынша ұлттық стандарттар бар. Менеджмент, сапа жүйелері. Негізгі ережелер мен сөздік; ГОСТ Р ИСО 9001-2001. Сапа менеджменті жүйесі. Талаптар; МЕМСТ Р ИСО 9004-2001. Сапа менеджменті жүйесі.</w:t>
      </w:r>
    </w:p>
    <w:p w14:paraId="32CBE138" w14:textId="77777777" w:rsidR="00770E3F" w:rsidRP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Ресей Федерациясында стандарттауды мемлекеттік басқаруды Ресей Федерациясының стандарттау және метрология жөніндегі мемлекеттік комитеті (Ресей Мемстандарты) жүзеге асырады.</w:t>
      </w:r>
    </w:p>
    <w:p w14:paraId="4183FF17" w14:textId="528BE647" w:rsidR="00770E3F" w:rsidRDefault="00770E3F" w:rsidP="00770E3F">
      <w:pPr>
        <w:widowControl w:val="0"/>
        <w:autoSpaceDE w:val="0"/>
        <w:autoSpaceDN w:val="0"/>
        <w:spacing w:before="67" w:after="0" w:line="240" w:lineRule="auto"/>
        <w:ind w:left="399"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Сапаны басқару бойынша көптеген ұлттық ұйымдардың тәжірибесін біріктірген ISO 9000 стандарттарының жанұясы бүгінде кез келген кәсіпорынның өнім сапасының тұрақтылығын қамтамасыз ету үшін негіз ретінде қарастырылады.</w:t>
      </w:r>
    </w:p>
    <w:p w14:paraId="5C281777" w14:textId="7C16A902" w:rsid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p>
    <w:p w14:paraId="3B76F05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Жобада қатерді басқару</w:t>
      </w:r>
    </w:p>
    <w:p w14:paraId="5CEFD68E"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 контекстіндегі тәуекел (жоба тәуекелі) жобаға және оның элементтеріне белгілі бір залал келтіруі және Жоба мақсаттарына қол жеткізуге кедергі келтіруі мүмкін күтпеген оқиғалардың әсері ретінде қарастырылады.</w:t>
      </w:r>
    </w:p>
    <w:p w14:paraId="7806FD5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Жобаның тәуекелі үш фактормен сипатталады: жобаға теріс әсер ететін оқиғалар; осындай оқиғалардың пайда болу ықтималдығы; жобаға осындай Оқиғалармен келтірілген залалды бағалау.</w:t>
      </w:r>
    </w:p>
    <w:p w14:paraId="3F3116AB"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Тәуекелді басқару-бұл жоба өмірі бойы тәуекел дәрежесін төмендету және жобаға қатысушылар арасында тәуекелден болатын залалды бөлу бойынша шараларды қабылдау, пайда болуының алдын алу, талдау, бағалау, анықтау өнері және формальды әдістері.</w:t>
      </w:r>
    </w:p>
    <w:p w14:paraId="593F7CE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Тәуекелге қаржылық, техникалық, ұйымдастырушылық (мерзімдердің ықтимал бұзылуына байланысты), әлеуметтік - саяси және т. б. сияқты жобалардың барлық жобалары мен көптеген аспектілері белгілі бір шамада ұшырайды.</w:t>
      </w:r>
    </w:p>
    <w:p w14:paraId="73A7A180"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Жобаларды басқару белгісіздік пен тәуекелдердің болу фактілерін айқындауды және тәуекелдер мен залалды талдауды ғана емес. Жобалардың тәуекелдерін басқаруға болады және қажет. Тәуекелдерді басқару-жоспарлау, мониторинг және түзету әсер ету жүйесіне біріктірілген тәуекел факторларын талдау және бейтараптандыру әдістерінің жиынтығы. Тәуекелдерді басқару жобаны басқарудың кіші жүйесі болып табылады.</w:t>
      </w:r>
    </w:p>
    <w:p w14:paraId="00EBA7CF"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Тәуекелдерді сараптамалық талдау бастапқы ақпараттың көлемі тиімділікті (нәтижелердің қателігі 30% - дан асатын) және жоба тәуекелдерін сандық бағалау үшін жеткіліксіз болған жағдайда жобамен жұмыстың бастапқы кезеңдерінде қолданылады.</w:t>
      </w:r>
    </w:p>
    <w:p w14:paraId="6B9170D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Тәуекелдерді сараптамалық талдау алгоритмі:</w:t>
      </w:r>
    </w:p>
    <w:p w14:paraId="45A39EC2"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тәуекелдердің әрбір түрі бойынша осы жобаны іске асыратын ұйым үшін қолайлы шекті деңгей анықталады. Тәуекелдердің шекті деңгейі стобалль шкаласы бойынша анықталады;</w:t>
      </w:r>
    </w:p>
    <w:p w14:paraId="310E610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қажет болған жағдайда, құпия болып табылатын сарапшылардың құзыреттілік деңгейін саралап бағалау белгіленеді. Баға он баллдық шкала бойынша қойылады;</w:t>
      </w:r>
    </w:p>
    <w:p w14:paraId="0FAC25C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тәуекелдерді сарапшылар тәуекел оқиғасының басталу ықтималдығы (бірлік үлесінде) және жобаны табысты аяқтау үшін осы тәуекелдердің қауіптілігі (стобалльді шкала бойынша) тұрғысынан бағалайды.);</w:t>
      </w:r>
    </w:p>
    <w:p w14:paraId="5A310E0A"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әрбір тәуекел түрі бойынша сарапшылар қойған бағалауды жобаны әзірлеуші кестеге енгізеді. Оларда тәуекелдердің әрбір түрі бойынша интегралдық деңгей анықталады.</w:t>
      </w:r>
    </w:p>
    <w:p w14:paraId="26F486E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 сараптамалық сауалнама нәтижесінде алынған тәуекелдердің интегралдық деңгейі және осы түр үшін </w:t>
      </w:r>
      <w:r w:rsidRPr="00770E3F">
        <w:rPr>
          <w:rFonts w:ascii="Times New Roman" w:eastAsia="Times New Roman" w:hAnsi="Times New Roman" w:cs="Times New Roman"/>
          <w:sz w:val="20"/>
          <w:szCs w:val="20"/>
          <w:lang w:eastAsia="ru-RU" w:bidi="ru-RU"/>
        </w:rPr>
        <w:lastRenderedPageBreak/>
        <w:t>шекті деңгей салыстырылады және жобаны әзірлеуші үшін тәуекелдің осы түрінің қолайлылығы туралы шешім шығарылады.</w:t>
      </w:r>
    </w:p>
    <w:p w14:paraId="0DE8FE2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егер тәуекелдердің бір немесе бірнеше түрлерінің қабылданған шекті деңгейі алынған интегралдық мәндерден төмен болған жағдайда, анықталған тәуекелдердің жобаны іске асырудың табыстылығына әсерін төмендетуге бағытталған іс-шаралар кешені әзірленеді және қайта талдау жүзеге асырылады.</w:t>
      </w:r>
    </w:p>
    <w:p w14:paraId="3E6ADFA8"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p>
    <w:p w14:paraId="2513006E"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w:t>
      </w:r>
    </w:p>
    <w:p w14:paraId="650451FA"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Тәуекелдерді бағалау әдістері мыналарды </w:t>
      </w:r>
      <w:proofErr w:type="gramStart"/>
      <w:r w:rsidRPr="00770E3F">
        <w:rPr>
          <w:rFonts w:ascii="Times New Roman" w:eastAsia="Times New Roman" w:hAnsi="Times New Roman" w:cs="Times New Roman"/>
          <w:sz w:val="20"/>
          <w:szCs w:val="20"/>
          <w:lang w:eastAsia="ru-RU" w:bidi="ru-RU"/>
        </w:rPr>
        <w:t>қамтиды::</w:t>
      </w:r>
      <w:proofErr w:type="gramEnd"/>
    </w:p>
    <w:p w14:paraId="71C9D1B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 Математикалық статистика әдістерінің көмегімен тәуекелдерді сандық бағалау.</w:t>
      </w:r>
    </w:p>
    <w:p w14:paraId="66802B68"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2. Тәуекелдерді сараптамалық бағалау әдістері.</w:t>
      </w:r>
    </w:p>
    <w:p w14:paraId="5E0E1669"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3. Тәуекелдерді Имитациялық модельдеу әдістері.</w:t>
      </w:r>
    </w:p>
    <w:p w14:paraId="5D7EADFB"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4. Бірнеше жеке әдістерді немесе олардың жекелеген элементтерін біріктіру болып табылатын аралас әдістер.</w:t>
      </w:r>
    </w:p>
    <w:p w14:paraId="5FE56F5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Жобалық тәуекелдерді азайтуға мүмкіндік беретін барлық әдістерді үш топқа бөлуге болады:</w:t>
      </w:r>
    </w:p>
    <w:p w14:paraId="7FED51CA"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 Тәуекелдерді жобаға қатысушылар арасында бөлуге мүмкіндік беретін тәуекелдерді әртараптандыру немесе бөлу (нәтижелері тікелей өзара байланысты емес қызмет түрлері арасында кәсіпорынның күш-жігерін бөлу). Жобалық тәуекелдерді оның қатысушылары арасында бөлу оны төмендетудің тиімді тәсілі болып табылады.</w:t>
      </w:r>
    </w:p>
    <w:p w14:paraId="4E67B5E2"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2. Күтпеген шығыстарды жабуға арналған қаражатты резервтеу жобаның құнына әсер ететін әлеуетті тәуекелдер мен жобаны орындауда іркілістерді еңсеру үшін қажетті шығыстар мөлшерінің арасындағы ара қатынасты белгілеуді көздейтін Тәуекелге қарсы күрес тәсілі болып табылады.</w:t>
      </w:r>
    </w:p>
    <w:p w14:paraId="7BB9708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Тәуекелдерді азайту әрдайым жобалық шығындарды арттырады, бірақ жобалық пайданы да арттырады.</w:t>
      </w:r>
    </w:p>
    <w:p w14:paraId="141F95B6"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 жетістігінің қажетті шарты жобаны іске асырудан түсетін болжамды түсімдердің есептеудің әрбір қадамында ақша қаражатының жылыстауынан асып кетуі болып табылады. Қаржыландыру жоспарында тәуекелдерді төмендету мақсатында тәуекелдердің мынадай түрлерін ескеретін жеткілікті беріктілік қорын құру қажет:</w:t>
      </w:r>
    </w:p>
    <w:p w14:paraId="1ABF1B7F"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аяқталмаған құрылыс тәуекелі (қосымша шығындар және жоспарланған кірістердің болмауы));</w:t>
      </w:r>
    </w:p>
    <w:p w14:paraId="308E895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жоба өнімін сату көлемін уақытша төмендету тәуекелі;</w:t>
      </w:r>
    </w:p>
    <w:p w14:paraId="67379CE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салық тәуекелі (салық жеңілдіктері мен артықшылықтарын пайдаланудың мүмкін еместігі, салық заңнамасын өзгерту);</w:t>
      </w:r>
    </w:p>
    <w:p w14:paraId="5B8B4300"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тапсырыс берушілер тарапынан берешектерді уақтылы төлемеу тәуекелі.</w:t>
      </w:r>
    </w:p>
    <w:p w14:paraId="08964539"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Тәуекелдерді есептеу кезінде жобаның қаржылық жоспарындағы жинақталған нақты ақшаның сальдосы есептеудің әрбір қадамында осы қадамда жоспарланған шығындардың кемінде 8% болуы қажет. Бұдан басқа, жобаны қаржыландырудың қосымша көздерін және өнімді сатудан түскен түсімнің белгілі бір пайызын аудара отырып, резервтік қорлар құруды көздеу қажет.</w:t>
      </w:r>
    </w:p>
    <w:p w14:paraId="07EA569B"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3. Тәуекелдерді сақтандыру. Егер жобаға қатысушылар қандай да бір тәуекел оқиғасы туындаған кезде жобаны өз күшімен іске асыруды қамтамасыз ете алмаған жағдайда, тәуекелдерді сақтандыруды жүзеге асыру қажет. Тәуекелдерді сақтандыру шын мәнісінде сақтандыру компаниясының белгілі бір тәуекелдерін беру бар.</w:t>
      </w:r>
    </w:p>
    <w:p w14:paraId="440922F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p>
    <w:p w14:paraId="2D8E5EF4"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Кәсіпкерлік тәуекелді сақтандыру шартын жасасу кезінде сақтандырушы тәуекелдерге талдау жүргізуге, ал қажет болған жағдайда сараптама тағайындауға құқылы.</w:t>
      </w:r>
    </w:p>
    <w:p w14:paraId="49DD839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Тәуекелдерді төмендету әдістерінің тиімділігі келесі алгоритмнің көмегімен анықталады:</w:t>
      </w:r>
    </w:p>
    <w:p w14:paraId="520E2699"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жоба үшін аса маңызды тәуекел қарастырылады;</w:t>
      </w:r>
    </w:p>
    <w:p w14:paraId="03EBA742"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қолайсыз оқиғаның болу ықтималдығын ескере отырып, қаражаттың артық жұмсалуы анықталады;</w:t>
      </w:r>
    </w:p>
    <w:p w14:paraId="027C432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тәуекел оқиғасының ықтималдығы мен қауіптілігін азайтуға бағытталған ықтимал іс-шаралар тізбесі анықталады;</w:t>
      </w:r>
    </w:p>
    <w:p w14:paraId="74280CA5"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ұсынылған іс-шараларды іске асыруға арналған қосымша шығындар анықталады;</w:t>
      </w:r>
    </w:p>
    <w:p w14:paraId="3F7A16F8"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ұсынылған іс-шараларды іске асыруға қажетті шығындар тәуекел оқиғасының басталуы салдарынан қаражатты артық жұмсаумен салыстырылады;</w:t>
      </w:r>
    </w:p>
    <w:p w14:paraId="49D010C5"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қатерлі ісікке қарсы іс-шараларды жүзеге асыру немесе одан бас тарту туралы шешім қабылданады;</w:t>
      </w:r>
    </w:p>
    <w:p w14:paraId="4E2025E4"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тәуекел оқиғаларының ықтималдығы мен салдарларын оларды төмендету жөніндегі іс-шараларға арналған шығындармен салыстыру процесі маңыздылығы бойынша келесі тәуекел үшін қайталанады.</w:t>
      </w:r>
    </w:p>
    <w:p w14:paraId="425A6AE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Объектінің құрылысы жобасының тәуекелдерін сәйкестендіру</w:t>
      </w:r>
    </w:p>
    <w:p w14:paraId="21C3056B"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lastRenderedPageBreak/>
        <w:t>Тәуекелдердің пайда болу себебі әр жобада бар белгісіздік болып табылады. Қауіп ―қатерлер белгілі - олар анықталған, бағаланған, олар үшін жоспарлау мүмкін. Тәуекелдер</w:t>
      </w:r>
    </w:p>
    <w:p w14:paraId="51B39EE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белгісіз құрылғы – анықталмаған және мүмкін емес.</w:t>
      </w:r>
    </w:p>
    <w:p w14:paraId="72E302B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Мақсаттар мен оларға қол жеткізу технологиялары сияқты элементтерде белгісіздік дәрежесі жоғары жобаларды іске асыра отырып, көптеген компаниялар тәуекелдерді басқарудың корпоративтік әдістерін әзірлеуге және қолдануға назар аударады. Бұл әдістер жобалардың ерекшелігін де, басқарудың корпоративтік әдістерін де ескереді.</w:t>
      </w:r>
    </w:p>
    <w:p w14:paraId="09ED072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Жобаларды басқару саласындағы стандарттарды әзірлейтін және жариялайтын американдық жобаларды басқару институты (PMI) тәуекелдерді басқару рәсімдерін реттейтін бөлімдерді айтарлықтай қайта өңдеді. PMBOK жаңа нұсқасында тәуекелдерді басқарудың алты процедурасы сипатталған.</w:t>
      </w:r>
    </w:p>
    <w:p w14:paraId="6538D5D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Тәуекелдерді басқару-тәуекелдерді сәйкестендірумен, талдаумен және шешім қабылдаумен байланысты үдерістер. Жобаның Тәуекелдерін басқару процесі әдетте келесі рәсімдерді орындауды қамтиды:</w:t>
      </w:r>
    </w:p>
    <w:p w14:paraId="50713F93"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Тәуекелдерді басқаруды жоспарлау-жоба тәуекелдерін басқару бойынша қызметті жоспарлау және тәсілдерді таңдау.</w:t>
      </w:r>
    </w:p>
    <w:p w14:paraId="0C5EB41B" w14:textId="68B51A48" w:rsid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Тәуекелдерді сәйкестендіру-жобаға әсер ете алатын тәуекелдерді анықтау және олардың сипаттамаларын құжаттау.</w:t>
      </w:r>
    </w:p>
    <w:p w14:paraId="065EB27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Тәуекелдерді сапалы бағалау – тәуекелдерді және олардың пайда болу шарттарын жобаның жетістігіне әсерін анықтау мақсатында сапалы талдау.</w:t>
      </w:r>
    </w:p>
    <w:p w14:paraId="79F1206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Сандық бағалау-тәуекелдердің пайда болу ықтималдығы мен зардаптарының жобаға әсерін сандық талдау.</w:t>
      </w:r>
    </w:p>
    <w:p w14:paraId="3275BAF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Тәуекелдерге ден қоюды жоспарлау-тәуекел оқиғаларының теріс салдарларын әлсірету және ықтимал артықшылықтарды пайдалану бойынша рәсімдер мен әдістерді айқындау.</w:t>
      </w:r>
    </w:p>
    <w:p w14:paraId="699310D0"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Тәуекелдерді мониторингілеу және бақылау-тәуекелдер мониторингі, қалған тәуекелдерді анықтау, жоба тәуекелдерін басқару жоспарын орындау және тәуекелдерді азайту бойынша іс-қимылдардың тиімділігін бағалау.</w:t>
      </w:r>
    </w:p>
    <w:p w14:paraId="49F8EF6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Барлық осы рәсімдер бір-бірімен, сондай-ақ басқа да рәсімдермен өзара іс-қимыл жасайды. Әрбір рәсім әрбір жобада кемінде бір рет орындалады. Мұнда ұсынылған процедуралар нақты анықталған сипаттамалары бар дискретті элементтер ретінде қарастырылғанына қарамастан, іс жүзінде олар ішінара сәйкес келуі және өзара әрекеттесуі мүмкін.</w:t>
      </w:r>
    </w:p>
    <w:p w14:paraId="6E051536"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12.6 жобада персоналды басқару</w:t>
      </w:r>
    </w:p>
    <w:p w14:paraId="540BADCE"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Жобаны жүзеге асыру үшін оның өмірлік циклі бойы әртүрлі білікті мамандар тартылады. Жобаның өмір бойы тартылған қызметкерлер саны қатты ауытқиды.</w:t>
      </w:r>
    </w:p>
    <w:p w14:paraId="5F1794F8"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Персоналды басқару функциялары жобаны жүзеге асыру уақытының барлық кезеңдеріне қажеттілікті, сандық және біліктілік құрамын айқындауды, кандидатураларды іздеу мен іріктеуді, жұмысқа қабылдауды және жұмыстан босатуды ресімдеуді, қызметкерлерді жұмыс орындары бойынша жоспарлау мен бөлуді, оқытуды және біліктілікті арттыруды ұйымдастыруды, жауапкершілікті айқындауды, ұжымдық жұмыс үшін жағдайлар мен жұмыс атмосферасын жасауды, туындаған жанжалдардың алдын алуды және шешуді, төлем мәселелерін және т. б. қамтиды.</w:t>
      </w:r>
    </w:p>
    <w:p w14:paraId="26BAE5D5"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Кадрлық жоспарлау. Персоналды жоспарлау</w:t>
      </w:r>
    </w:p>
    <w:p w14:paraId="6B0FD9E5"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"дұрыс уақытта дұрыс лауазымдарға қабылданған білікті персоналдың қажетті санымен ұйымдастыруды қамтамасыз ету процесі".</w:t>
      </w:r>
    </w:p>
    <w:p w14:paraId="5A2704E6"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Кадрлық жоспарлау процесі үш кезеңнен тұрады: қолма-қол ресурстарды бағалау; болашақ қажеттіліктерді бағалау; болашақ қажеттіліктерді қанағаттандыру бағдарламасын әзірлеу.</w:t>
      </w:r>
    </w:p>
    <w:p w14:paraId="25F3DC2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Персонал жиынтығы. Қабылдау мақсаты барлық лауазымдар мен мамандықтарға кандидаттардың қажетті резервін құру болып табылады, одан ұйым оған неғұрлым қолайлы қызметкерлерді іріктейді. Қабылдау бойынша қажетті жұмыс көлемі едәуір мөлшерде қолма-қол жұмыс күші мен ондағы болашақ қажеттілік арасындағы айырмамен анықталады. Бұл ретте зейнетке шығу, тұрақсыздық, жалдау шарты мерзімінің аяқталуына байланысты жұмыстан босату, ұйым қызметінің аясын кеңейту сияқты факторлар ескеріледі. Жиынтық әдетте сыртқы және ішкі көздерден жүргізіледі.</w:t>
      </w:r>
    </w:p>
    <w:p w14:paraId="17525E0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p>
    <w:p w14:paraId="4DEED8F0"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Персоналды іріктеу. Осы кезеңде кадрларды жоспарлауды басқару кезінде басшылық қабылдау барысында құрылған резервтен неғұрлым қолайлы кандидаттарды іріктейді. Көп жағдайларда қызмет бабында алға жылжу үшін неғұрлым қолайлы болып табылатын кандидатты емес, атқаратын лауазымында нақты жұмысты орындау үшін ең жақсы біліктілігі бар адамды таңдау керек. Таңдау туралы объективті шешім мән-жайларға қарай кандидаттың білімі, оның кәсіби дағдыларының деңгейі, алдыңғы жұмыс тәжірибесі, жеке қасиеттері негізінде болуы мүмкін.</w:t>
      </w:r>
    </w:p>
    <w:p w14:paraId="5F053C36"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Іріктеу кезінде шешім қабылдау үшін талап етілетін ақпаратты жинаудың ең кең қолданылатын төрт </w:t>
      </w:r>
      <w:r w:rsidRPr="00770E3F">
        <w:rPr>
          <w:rFonts w:ascii="Times New Roman" w:eastAsia="Times New Roman" w:hAnsi="Times New Roman" w:cs="Times New Roman"/>
          <w:sz w:val="20"/>
          <w:szCs w:val="20"/>
          <w:lang w:eastAsia="ru-RU" w:bidi="ru-RU"/>
        </w:rPr>
        <w:lastRenderedPageBreak/>
        <w:t>әдістеріне сынақтар, сауалнама жүргізу, әңгімелесу және бағалау орталықтары жатады.</w:t>
      </w:r>
    </w:p>
    <w:p w14:paraId="66E3D954"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Жалақыны анықтау. Ұйым ұсынатын сыйақылардың түрі мен Саны еңбек өмірінің сапасын бағалау үшін маңызды. Зерттеулер көрсетіп отырғандай, сыйақылар адамдардың жұмысқа тұру туралы шешімдеріне, жұмысқа келмеуіне, олардың қанша өндірілуі керек, қашан және мүлдем ұйымнан кетуге тұратындығы туралы шешімдерге әсер етеді.</w:t>
      </w:r>
    </w:p>
    <w:p w14:paraId="4E15531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Еңбек ресурстарын дамыту. Бір кездері кадрлармен жұмыс істеу тек қана жұмыс күшін іріктеу және қабылдау іс-шараларында болды. Егер сіз қажетті адамдарды таба алсаңыз, олар қажетті жұмысты орындай алады. Басқару ісі жақсы қойылған қазіргі заманғы ұйымдар лайықты адамдарды жинау тек қана бастау болып табылады деп санайды. Ұйым ресурстарының көп бөлігі материалдық объектілермен ұсынылған, олардың құны уақыт өте келе амортизация арқылы төмендейді, адам ресурстарының құндылығы жылдар бойы өсуі мүмкін және өсуі тиіс. Осылайша, ұйымның игілігі үшін және өз ұйымы қызметкерлерінің жеке игілігі үшін басшылық кадрлардың әлеуетін жан-жақты арттыру үшін үнемі жұмыс істеуі тиіс.</w:t>
      </w:r>
    </w:p>
    <w:p w14:paraId="23208E1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Кадрларды даярлау. Дайындық Қызметкерлерді еңбек өнімділігін көтеруге мүмкіндік беретін дағдыларға үйрету болып табылады. Оқытудың соңғы мақсаты өз ұйымын ұйымның мақсаттарына қол жеткізу үшін қажетті дағдылары мен қабілеті бар адамдардың жеткілікті санымен қамтамасыз ету болып табылады. Оқытудың мәні кеңінен танылған. Өкінішке орай, көптеген басшылар осыған байланысты барлық қиындықтарды түсінбейді. Оқыту пайдалы және үш негізгі жағдайда талап етіледі. Біріншіден, адам ұйымға келгенде. Екіншіден, қызметшіні жаңа лауазымға тағайындаған кезде немесе оған жаңа жұмыс тапсырылатын кезде. Үшіншіден, тексеру адамның өз жұмысын тиімді орындау үшін белгілі бір дағдылардың жетіспейтінін анықтаған кезде.</w:t>
      </w:r>
    </w:p>
    <w:p w14:paraId="32F6E25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Қызмет нәтижелерін бағалау. Қызметкер ұжымда бейімделгеннен кейін және өз жұмысын тиімді орындау үшін қажетті дайындықтан кейін келесі қадам еңбек тиімділігінің дәрежесін анықтау болады. Бұл нәтижелерді бағалау мақсаты болып табылады</w:t>
      </w:r>
    </w:p>
    <w:p w14:paraId="0C737F85"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бақылау функциясының жалғасы ретінде елестетуге болатын қызметті жүзеге асыру. Бақылау процесі белгіленген нормалардан ауытқуды анықтау және қажет болған жағдайда түзету шараларын қабылдау үшін стандарттарды құруды және нәтижелерді өлшеуді көздейді. Осыған ұқсас, қызмет нәтижелерін бағалау басшылардың әрбір қызметкер өзіне берілген міндеттерді қаншалықты тиімді орындағаны туралы ақпарат жинауын талап етеді. Бұл мәліметтерді өзінің қарамағындағыларға хабарлай отырып, басшы оларды өз жұмысын қалай жақсы атқаратыны туралы хабардар етеді және егер ол қабылданғанға сәйкес келмесе, оларға өзінің мінез-құлқын түзетуге мүмкіндік береді. Сонымен қатар, қызмет нәтижелерін бағалау басшылыққа неғұрлым көрнекті қызметкерлерді анықтауға және оларды неғұрлым тартымды лауазымдарға ауыстыра отырып, олардың жетістіктерінің деңгейін нақты көтеруге мүмкіндік береді. Негізінен, қызмет нәтижелерін бағалау үш мақсатқа қызмет етеді: әкімшілік, ақпараттық және уәждемелік.</w:t>
      </w:r>
    </w:p>
    <w:p w14:paraId="45EFD22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Персоналды бағалау қойылатын талаптарға сәйкестігін бағалауға (аттестаттау) және қол жеткізілген нәтижелерді бағалауға, оларға қол жеткізу тәсілдерін бағалауды қоса алғанда, бөлінеді.</w:t>
      </w:r>
    </w:p>
    <w:p w14:paraId="1C5D1A6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Мотивациялық функциялар. Басшы үшін қызметкерлердің уәждемесін білу және еңбек қызметінің өнімділігі мен сапасын арттыру мақсатында оны тиімді басқара білу өте маңызды. Адамдар әртүрлі қажеттіліктер мен мотивтердің айқын көріну дәрежесі бойынша айтарлықтай ерекшеленеді. Бұдан басқа, қажеттіліктер факторлардың көп санына байланысты үнемі өзгеріп отырады. Осыған орай, еңбекақы төлеу жүйесі жұмысқа итермелейтін құралдардың бірі ретінде өз орнын алатын кәсіпорын қызметкерлерінің еңбек қызметін бағалау және уәждемесін қалыптастыру жүйесін құру өзекті болып табылады.</w:t>
      </w:r>
    </w:p>
    <w:p w14:paraId="3ACA8FC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Уәждемені бағалау және қалыптастыру жүйесі мынадай компоненттерді қамтуы тиіс: әр түрлі бөлімшелер қызметкерлерінің еңбек қызметінің нақты уәждемесінің мониторингі; еңбек қызметін уәждеудің ішкі және сыртқы факторларын бағалау; еңбек қызметінің әр түрлі көрсеткіштеріне еңбек уәждемесінің әсерін айқындау; қызметкерлердің әр түрлі топтарының жұмысына қанағаттанушылықта еңбек қызметінің уәждемесін арттыруға бағытталған іс-шараларды әзірлеу және енгізу; еңбек уәждемесін арттыру мақсатында еңбек ақы төлеу жүйесінің қағидаттарын айқындау және оңтайландыру.; қызметкерлердің мотивациясын басқару тиімділігін бағалау және бақылау.</w:t>
      </w:r>
    </w:p>
    <w:p w14:paraId="1832B9B5" w14:textId="698DA824" w:rsid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Басшы кадрларды даярлау. Дайындық қызметкерлердің болашақта өзінің лауазымдық міндеттерін немесе өндірістік тапсырмаларын тиімді орындау үшін қажетті дағдылары мен іскерліктерін дамытуға негізделеді. Практикада жүйелі даярлау бағдарламалары басшыларды қызмет бойынша жылжытуға дайындау үшін жиі қолданылады. Басқарушы кадрларды табысты даярлау үшін, жалпы оқыту үшін сияқты, мұқият талдау және жоспарлау қажет.</w:t>
      </w:r>
    </w:p>
    <w:p w14:paraId="25B1B865"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Персоналмен жұмыс істеуге әсер ететін факторлар. Бизнесті жаңғырту үшін Кәсіпорынның сыртқы және ішкі ортасы арасында теңгерім қажет. Компанияның даму стратегияларының бизнес жасалатын ортаға сәйкес келмеуі кәсіпорындарды сыртқы әлеммен соғыс жағдайында ұстайды. Бұл бизнесті жасауға қажетті қабілеттерінің болмауы әкімшілік маразмға, ұйымдық ырымсыздыққа және басқарылмауға </w:t>
      </w:r>
      <w:r w:rsidRPr="00770E3F">
        <w:rPr>
          <w:rFonts w:ascii="Times New Roman" w:eastAsia="Times New Roman" w:hAnsi="Times New Roman" w:cs="Times New Roman"/>
          <w:sz w:val="20"/>
          <w:szCs w:val="20"/>
          <w:lang w:eastAsia="ru-RU" w:bidi="ru-RU"/>
        </w:rPr>
        <w:lastRenderedPageBreak/>
        <w:t>әкеледі.</w:t>
      </w:r>
    </w:p>
    <w:p w14:paraId="2DFBCD44"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Еңбекті ұйымдастыруды жетілдіру. Басқару ғылымының ерте идеяларының көбі тапсырманы әзірлеу айналасында айнала айнала айнала айнала айнала айнала бастады, ол еңбекті бөлу, қазіргі заманғы технология және автоматика артықшылықтарын барынша пайдалануға мүмкіндік береді. Американдық жұмысшылар экономикалық жағынан қамтамасыз етілген болғандықтан, білім беру, Мәдени және әлеуметтік құндылықтар өзгерді, өнеркәсіп Еңбек сипатына байланысты қиындықтарға тап болды.</w:t>
      </w:r>
    </w:p>
    <w:p w14:paraId="2FFE63A0"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Жұмыстың көлемін кеңейту және мазмұнын байыту. Еңбекті қайта ұйымдастырудың кеңінен қолданылатын екі әдісі-бұл жұмыс көлемін кеңейту және оның мазмұнын байыту.</w:t>
      </w:r>
    </w:p>
    <w:p w14:paraId="4D40B443"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Ірілендіру жұмыстары жатады ұйымдастыруды жетілдіру есебінен арттыру, оның көлемін. Оның мазмұнын байыту мазмұндылықты арттыру есебінен өзгерістерді көздейді.</w:t>
      </w:r>
    </w:p>
    <w:p w14:paraId="46503E9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Орындаушыларды құрылымдау. Көптеген басшылар негізінен өз қарамағындағы адамдардың жеке ресурстарына сүйенеді, олардың күші мен әлсіздігін бағалай алады және өз ұйымын немесе кәсіпқойлар жиынтығы ретінде немесе жай топ ретінде көрсетеді.</w:t>
      </w:r>
    </w:p>
    <w:p w14:paraId="0F7DEEF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Тапсырмаларға бағытталған команданы таңдау және басқару принциптері. Іс жүзінде барлық есептер бойынша командаға айналуы тиіс топ - пу-ға адамдарды таңдаудың бірнеше нұсқасы бар.</w:t>
      </w:r>
    </w:p>
    <w:p w14:paraId="6D443CF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Команданың табыстылығы оған кіретін адамдардың айырмашылықтарымен қамтамасыз етіледі деген болжам негізінде жатыр.</w:t>
      </w:r>
    </w:p>
    <w:p w14:paraId="6DE47A8B"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12.7 жобадағы қақтығыстарды басқару</w:t>
      </w:r>
    </w:p>
    <w:p w14:paraId="713E0F05"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Басқару технологияларын пайдалану арқылы жобамен жұмыс істеу шеңберінде туындайтын техникалық және жеке сипаттағы әртүрлі келісулер шешілетін Процесс.</w:t>
      </w:r>
    </w:p>
    <w:p w14:paraId="74D31BA3"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Жобаны іске асыру кезінде туындайтын жанжалдарды шешу тәсілдері:</w:t>
      </w:r>
    </w:p>
    <w:p w14:paraId="61D840E9"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Даулы жағдайды басқарудың бірнеше тиімді әдістері бар. Оларды екі топқа бөлуге болады: құрылымдық және тұлғааралық.</w:t>
      </w:r>
    </w:p>
    <w:p w14:paraId="403F1ED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Жанжалды шешудің құрылымдық әдістері:</w:t>
      </w:r>
    </w:p>
    <w:p w14:paraId="508FAD32"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 жұмысқа қойылатын талаптарды түсіндіру - дисфункционалды қақтығыстың алдын алатын әдіс; басшылықтың әр қызметкерден және бөлімшеден қандай нәтижелер күтетінін түсіндіруден тұрады (не жасалуы немесе қол жеткізілуі тиіс; әр түрлі ақпаратты кім алады және кім ұсынады; өкілеттік және жауапкершілік жүйесі; іс-қимыл тәртібі мен ережелерін нақты анықтау);</w:t>
      </w:r>
    </w:p>
    <w:p w14:paraId="32F437BF"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6) басқару иерархиясы; дара басшылық принципі; функциялар арасындағы байланысты жүзеге асыратын қызметтер; функционалдық, мақсатты топтар құру; бөлімдер арасында кеңестер өткізу және т. б. сияқты үйлестіру және біріктіру тетіктерін қолдану</w:t>
      </w:r>
      <w:proofErr w:type="gramStart"/>
      <w:r w:rsidRPr="00770E3F">
        <w:rPr>
          <w:rFonts w:ascii="Times New Roman" w:eastAsia="Times New Roman" w:hAnsi="Times New Roman" w:cs="Times New Roman"/>
          <w:sz w:val="20"/>
          <w:szCs w:val="20"/>
          <w:lang w:eastAsia="ru-RU" w:bidi="ru-RU"/>
        </w:rPr>
        <w:t>. ;</w:t>
      </w:r>
      <w:proofErr w:type="gramEnd"/>
    </w:p>
    <w:p w14:paraId="5E0B7965"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в) екі немесе одан да көп қызметкерлердің, топтардың немесе бөлімдердің бірлескен күш-жігерін талап ететін жалпы фирмалық кешенді мақсаттарды белгілеу; бұл барлық персоналдың неғұрлым үйлесімді жұмысын қамтамасыз етеді, бөлімшелердің басшылары бүкіл ұйымның мүддесінде шешімдер қабылдауға ықпал етеді;</w:t>
      </w:r>
    </w:p>
    <w:p w14:paraId="793CFDD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г) сыйақы жүйесінің құрылымы - сондай-ақ даулы жағдайды басқару әдісі ретінде пайдаланылуы мүмкін; жалпы фирмалық кешенді мақсаттарға қол жеткізуге үлес қосатын және фирма мүдделері тұрғысынан проблемаларды шешуге тырысатын адамдар бұл үшін сыйақы берілуі тиіс; сыйақы жүйесі жекелеген адамдардың немесе топтардың конструкцияланбаған мінез-құлқын көтермеуі кем дегенде маңызды.</w:t>
      </w:r>
    </w:p>
    <w:p w14:paraId="33E22ADF"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Жанжалды шешудің тұлғааралық әдістері:</w:t>
      </w:r>
    </w:p>
    <w:p w14:paraId="06936EE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 Жалтару көздейді күтім адам, жанжал ұмтылу түспеу жағдайды, олар жатады, оның соңы пайда қайшылықтарды емес кіруге мәселелерін талқылау, чреватых келіспеушіліктер.</w:t>
      </w:r>
    </w:p>
    <w:p w14:paraId="61115440"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2. Тегістеу қақтығысатын тараптарға ынтымақтастық пен ынтымақтастық көрсетуге, келіспеушіліктер туралы ұмытуға шақырумен сипатталады. Бұл ретте жанжал негізінде жатқан мәселе шешілмейді.</w:t>
      </w:r>
    </w:p>
    <w:p w14:paraId="70DA0306"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Нәтижесінде шиеленісуші Тараптар арасында біраз уақыт бейбітшілік пен келісім белгіленеді, бірақ жанжал міндетті түрде одан да өткір түрде пайда болады.</w:t>
      </w:r>
    </w:p>
    <w:p w14:paraId="76B2ECF8"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3. Мәжбүрлеу қарама-қарсы жаққа қысым жасайды, өз көзқарасын кез келген бағамен қабылдауға тырысады. Басшы қарамағындағыларға үлкен билік болған жағдайда тиімді болуы мүмкін. Әдіс жетіспеуі-бұл бастаманы басады, бұл әсіресе жас және білімді бағыныштыларда наразылық тудыруы мүмкін.</w:t>
      </w:r>
    </w:p>
    <w:p w14:paraId="4939E698"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4. Ымыраласу екінші Тараптың көзқарасымен сипатталады, бірақ тек кейбір дәрежеге дейін. Шиеленіс пен шиеленісті барынша азайтып, шиеленісті тез шешуге мүмкіндік береді. Бірақ қақтығыстың ерте сатысында ымыраны пайдалану туындаған проблеманы жан-жақты қарауға және талқылауға кедергі келтіреді.</w:t>
      </w:r>
    </w:p>
    <w:p w14:paraId="4D5042D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5. Мәселені шешу-жанжалдарды шешудің ең тиімді әдісі. Тараптардың пікірлеріндегі айырмашылықтарды мойындауды, өзге де көзқарас нүктелерімен танысуға және барлық тараптар үшін </w:t>
      </w:r>
      <w:r w:rsidRPr="00770E3F">
        <w:rPr>
          <w:rFonts w:ascii="Times New Roman" w:eastAsia="Times New Roman" w:hAnsi="Times New Roman" w:cs="Times New Roman"/>
          <w:sz w:val="20"/>
          <w:szCs w:val="20"/>
          <w:lang w:eastAsia="ru-RU" w:bidi="ru-RU"/>
        </w:rPr>
        <w:lastRenderedPageBreak/>
        <w:t>қолайлы іс-әрекеттердің нұсқасын табуға дайындықты болжайды.</w:t>
      </w:r>
    </w:p>
    <w:p w14:paraId="1B2101FB"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12.8 жобада қауіпсіздікті басқару</w:t>
      </w:r>
    </w:p>
    <w:p w14:paraId="5C55C5C9"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Жобадағы қауіпсіздікті басқару (Project Safety Management) - қауіпсіздік, денсаулық және қоршаған ортаға қатысты негізгі мәселелерді шешу.</w:t>
      </w:r>
    </w:p>
    <w:p w14:paraId="6191946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Ақпараттық қауіпсіздікті басқару жүйесін тиімді іске асырудың ерекшелігі екі негізгі бағыттарда: ұйымдастырушылық және технологиялық.</w:t>
      </w:r>
    </w:p>
    <w:p w14:paraId="28F7DC5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Ақпараттық қауіпсіздікті басқарудың ұйымдастырушылық моделінің негізін BS ISO/IEC 27001:2005 стандартының ұсынымдарына және BS ISO/IEC 17799:2005 енгізу бойынша практикаларға сәйкес PDCA моделі шеңберінде өзара байланысты процестер жүйесін қолданумен сипатталатын тәсіл құрайды. Банк жүйесі жағдайында бұл Ресей Банкінің СТО БР ИББС-1.0 стандарты-Ресей Федерациясының банк жүйесі ұйымдарының ақпараттық қауіпсіздігін қамтамасыз ету. Жалпы ережелер‖. Бұл модель ұйымдардың басқарудағы қажеттіліктерін барынша толық көрсетеді, өйткені ашық, тасымалданатын және ұйымға Елеулі капитал салымдарын енгізуді талап етпейді.</w:t>
      </w:r>
    </w:p>
    <w:p w14:paraId="47CD893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Ұйымның ақпараттық қауіпсіздігін басқарудың жетілген жүйесі тәуекелдерді талдау мен бағалаудың перманенттік рәсімін, кезеңдер бойынша көрсеткіштерді салыстыруды және ақпараттық қауіпсіздік рәсімдеріне тиісті өзгерістер енгізуді білдіреді.</w:t>
      </w:r>
    </w:p>
    <w:p w14:paraId="3314F97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Мерзімді қайта бағалауға мынадай негізгі позициялар жатады:</w:t>
      </w:r>
    </w:p>
    <w:p w14:paraId="46B3FE56"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Ақпараттық ресурстар номенклатурасын және оларды жұмыс топтарына біріктіру ережесін қоса алғанда, ақпараттық жүйенің жай-күйі.</w:t>
      </w:r>
    </w:p>
    <w:p w14:paraId="0230FF7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Бизнес тұрғысынан сыни деңгейі бойынша санаттауды және белгілі бір категорияға жататын ақпараттың ықтимал беделін түсіруі жағдайында залалды ықтимал материалдық бағалауды қоса алғанда, ақпараттық жүйемен өңделетін ақпарат.</w:t>
      </w:r>
    </w:p>
    <w:p w14:paraId="2CC61483"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Ақпараттық жүйені пайдаланушылардың жұмысын ұйымдастыру, оған пайдаланушылар топтарының белгілі бір ақпараттық ресурстарға тиесілігін, топтағы пайдаланушылардың санын, қолжетімді ақпараттың санатын, ақпаратқа қол жеткізу түрлері мен құқықтарын анықтау, ақпаратқа қол жетімділікті анықтау (пайдаланушылардың әр тобында ақпаратқа қол жеткізу әрекеті кезіндегі бос уақыт) кіреді.</w:t>
      </w:r>
    </w:p>
    <w:p w14:paraId="460D9E9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Ұйымның жұмыс істеуі, бизнес-процестерді анықтау және оларды ақпараттық ресурстар мен өңделетін ақпарат санаттарына байланыстыру.</w:t>
      </w:r>
    </w:p>
    <w:p w14:paraId="7A7866AF" w14:textId="4CFF5C6D" w:rsid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Ұйымдастыру, ақпараттық ресурстарға қол жеткізуді физикалық қорғауды ұйымдастыру, ақпаратты қорғауды ұйымдастыру, жұмыс орындарын қорғауды ұйымдастыру, ақпараттық қауіпсіздікке арналған шығындардың мониторингі.</w:t>
      </w:r>
    </w:p>
    <w:p w14:paraId="402344F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Ақпараттық жүйенің қорғалу деңгейі, ұйымдастыру шараларын қайта қарау, ақпараттық ресурстарға қол жеткізуді физикалық қорғау, персоналдың қауіпсіздігі, коммуникациялар мен процестерді басқару, қолжетімділікті бақылау рәсімдері, орындалатын файлдар мен ақпараттық ресурстар кітапханаларына өзгерістер енгізу мүмкіндігі, бизнесті үздіксіз жүргізуді қамтамасыз ету жоспарының жұмыс істеуі және өзекті жағдайда ұстап тұру, қауіпсіздік саясатының құжатталған талаптарына сәйкестігі.</w:t>
      </w:r>
    </w:p>
    <w:p w14:paraId="24198270"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Өз кезегінде, технологиялық құрамдауыш жобалауға жүйелік көзқараспен сипатталуы және ұйымның ақпараттық қауіпсіздігін басқарудың қолданыстағы жүйесіне сүйенуі тиіс. Бұл тәсіл күрделі жүйелерді жобалау кезінде қажетті декомпозиция принципін барынша толық қолдануға мүмкіндік береді.</w:t>
      </w:r>
    </w:p>
    <w:p w14:paraId="01ADB9D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Декомпозиция принципіне сәйкес ақпараттық қауіпсіздік жүйесінің технологиялық құрамдас бөлігін шартты түрде мынадай жоғары деңгейлі кіші жүйелерге бөлуге болады: Инфрақұрылым қауіпсіздігі; Ақпарат қауіпсіздігі; ақпаратты өңдеу құралдарының қолжетімділігі; ақпаратпен операциялар жүргізу кезіндегі қауіпсіздік.</w:t>
      </w:r>
    </w:p>
    <w:p w14:paraId="00BF1499"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Тәуекелді бағалау ақпараттық қауіпсіздікті қамтамасыз ету бағдарламасын іске асырудың алғашқы қадамы болып табылады. Қауіпсіздік "өздігінен" қарастырылмайды, бірақ бизнес-процестерді қамтамасыз етуге және тиісті тәуекелдерді азайтуға арналған саясаттар мен тиісті бақылау құралдарының жиынтығы ретінде. Осылайша, ақпараттық қауіпсіздікке байланысты бизнес-тәуекелдерді анықтау-тәуекелді басқару циклінің бастапқы нүктесі (ақпараттық қауіпсіздік).</w:t>
      </w:r>
    </w:p>
    <w:p w14:paraId="3D85DA7F"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Ұйым қызметкерлері ақпараттық қауіпсіздік бағдарламасының әр түрлі аспектілеріне қатысып, тиісті дағдылар мен білімге ие болуы тиіс. Қызметкерлердің қажетті кәсіби деңгейіне ұйым мамандары да, сондай-ақ сыртқы консультанттар да өткізетін тренингтер арқылы қол жеткізуге болады.</w:t>
      </w:r>
    </w:p>
    <w:p w14:paraId="531C0B5A"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Ақпараттық қауіпсіздік саласындағы саясат белгілі бір рәсімдерді қабылдауға және бақылау (басқару) құралдарын (тетіктерін) таңдауға негіз болып табылады. Ішкі бақылаудың басқа салалары сияқты ақпараттық қауіпсіздік үшін саясат талаптары тәуекел деңгейін бағалау нәтижелеріне тікелей байланысты.</w:t>
      </w:r>
    </w:p>
    <w:p w14:paraId="75EC64E4"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Пайдаланушыларға қолжетімді және түсінікті барабар саясаттардың жан-жақты жиынтығы ақпараттық қауіпсіздікті қамтамасыз ету бағдарламасын орнатудағы алғашқы қадамдардың бірі болып табылады.</w:t>
      </w:r>
    </w:p>
    <w:p w14:paraId="08E77FEF"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lastRenderedPageBreak/>
        <w:t>Ақпараттық қауіпсіздік саясатын құруға жалпы көзқарас (1) жоғары деңгейдегі қысқаша (қысқа) саясатты және (2) практикалық нұсқаулар мен стандарттарда ұсынылған неғұрлым егжей-тегжейлі ақпаратты көздеуі тиіс. Саясат Жоғары менеджмент қабылдаған негізгі және міндетті талаптарды көздейді. Практикалық басшылық барлық бизнес-бөлімшелер үшін міндетті емес.</w:t>
      </w:r>
    </w:p>
    <w:p w14:paraId="3423A61A"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Басқарушы топ бизнес-бөлімшелердің менеджерлерімен, ішкі аудиторлармен және заңгерлермен өзара іс-қимыл жасай отырып, ұйымның ақпараттық қауіпсіздік саясатын әзірлеуге жауапты болуы тиіс.</w:t>
      </w:r>
    </w:p>
    <w:p w14:paraId="56A808B6"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Пайдаланушылардың құзыреттілігі ақпараттық қауіпсіздікті табысты қамтамасыз ету үшін міндетті шарт болып </w:t>
      </w:r>
      <w:proofErr w:type="gramStart"/>
      <w:r w:rsidRPr="00770E3F">
        <w:rPr>
          <w:rFonts w:ascii="Times New Roman" w:eastAsia="Times New Roman" w:hAnsi="Times New Roman" w:cs="Times New Roman"/>
          <w:sz w:val="20"/>
          <w:szCs w:val="20"/>
          <w:lang w:eastAsia="ru-RU" w:bidi="ru-RU"/>
        </w:rPr>
        <w:t>табылады,сондай</w:t>
      </w:r>
      <w:proofErr w:type="gramEnd"/>
      <w:r w:rsidRPr="00770E3F">
        <w:rPr>
          <w:rFonts w:ascii="Times New Roman" w:eastAsia="Times New Roman" w:hAnsi="Times New Roman" w:cs="Times New Roman"/>
          <w:sz w:val="20"/>
          <w:szCs w:val="20"/>
          <w:lang w:eastAsia="ru-RU" w:bidi="ru-RU"/>
        </w:rPr>
        <w:t>-ақ бақылау құралдары тиісті түрде жұмыс істейтініне кепілдік береді.</w:t>
      </w:r>
    </w:p>
    <w:p w14:paraId="07632316"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Басшы топ ұйымның ақпараттық қауіпсіздігіне әсер ететін қызметкерлерді тұрақты оқыту стратегиясын қамтамасыз етуі тиіс. Топ күш-жігерді ұйымда өңделетін ақпаратпен байланысты тәуекелдерді жалпы түсінуге, сондай-ақ осы тәуекелдерді азайтуға бағытталған бақылау саясаттары мен әдістеріне (құралдарына) шоғырландыруға тиіс.</w:t>
      </w:r>
    </w:p>
    <w:p w14:paraId="0145A4D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Қызметтің кез келген түрі сияқты, қойылған мақсаттарға бақылау саясаты мен құралдарының (әдістерінің) барабарлығына (сәйкестігіне) кепілдік беру үшін ақпараттық қауіпсіздік бақылауға және мерзімдік қайта бағалауға жатады.</w:t>
      </w:r>
    </w:p>
    <w:p w14:paraId="67D269A8"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Бақылау, ең алдымен, тәуекелдерді азайтуға және бағдарлама мен ақпараттық қауіпсіздік саясатының тиімділігін бағалауға бағытталған, пайдаланушыларды түсінуді жақсартатын және инциденттер санын қысқартатын бақылау құралдары мен әдістерінің және оларды пайдаланудың болуына шоғырлануы тиіс. Басшылық топ жұмысының тиімділігі, мысалы, мынадай көрсеткіштерге (бірақ олармен шектелмей) негізделе отырып, бағалануы мүмкін: өткізілген тренингтер мен кездесулер саны; орындалған тәуекелді (тәуекелдерді) бағалау саны; сертификатталған мамандар саны; ұйым қызметкерлерінің жұмысын қиындататын инциденттердің болмауы; ақпараттық қауіпсіздік проблемаларына байланысты кідіріспен енгізілген жаңа жобалар санының төмендеуі; ақпараттық қауіпсіздіктің ең төменгі талаптарынан толық сәйкес келуі немесе келісілген және тіркелген ауытқулар; рұқсатсыз қол жеткізуге, ақпаратты жоғалтуға немесе бұрмалауға әкеп соғатын инциденттер санының төмендеуі.</w:t>
      </w:r>
    </w:p>
    <w:p w14:paraId="0E2C34CB"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Бақылау, сөзсіз, ұйымды қабылданған Ақпараттық қауіпсіздік саясатына сәйкес келтіруге мүмкіндік береді, алайда, егер алынған нәтижелер ақпараттық қауіпсіздікті қамтамасыз ету бағдарламасын жақсарту үшін пайдаланылмаса, бақылаудан түсетін толық пайдаға қол жеткізілмейді. Бақылау нәтижелерін талдау Ақпараттық қауіпсіздік саласындағы мамандарға және бизнес-бөлімшелердің менеджерлеріне бұрын сәйкестендірілген тәуекелдерді қайта бағалау, жаңа проблемалық учаскелерді анықтау, қолданыстағы бақылау (басқару) құралдары мен әдістерінің жеткіліктілігі мен орындылығын қайта бағалау және ақпараттық қауіпсіздікті қамтамасыз ету жөніндегі іс-қимылдар, Жаңа бақылау құралдары мен механизмдеріне қажеттілікті айқындау, бақылау күшін қайта бағыттау (бақылау іс-әрекеттері) құралдарын ұсынады.</w:t>
      </w:r>
    </w:p>
    <w:p w14:paraId="50F1F7C2"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Ақпараттық қауіпсіздік саласындағы мамандардың әзірленіп жатқан әдістер мен құралдардан (қосымшалардан) "артта қалатынына" және ақпараттық жүйелер мен қосымшалардың осалдығы туралы ең соңғы ақпаратқа ие болуына кепілдік беру маңызды, Жоғары менеджмент бұл үшін қажетті ресурстарға ие екеніне кепілдік береді.</w:t>
      </w:r>
    </w:p>
    <w:p w14:paraId="6DBAA72A"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12.9 жобада коммуникацияларды басқару</w:t>
      </w:r>
    </w:p>
    <w:p w14:paraId="2CABE05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Тиімді коммуникациялар кез келген жобаның табысты аяқталуының ықтималдығын едәуір арттыра алады. Бұл команданың "ішіндегі" қарым-қатынас жасауға, сондай-ақ жобаны басшылыққа, өнімнің болашақ пайдаланушыларына немесе баспасөзге ұсынуға қатысты. Оң әсерге бастамашылық кезеңінде қол жеткізуге болады. Жоба туралы ақпаратты тарату, оның мақсаттары мен мәндерін түсіндіру алдағы өзгерістердің жақтастары мен қарсыластарын ерте кезеңдерде анықтауға мүмкіндік береді. Іс жүзінде бұл жоба менеджерінің болашақта, жоба командасын жинағанда немесе коммуникация жоспарын құрғанда жұмысын едәуір жеңілдетеді. Коммуникациялардың құрылымы мен нысаны мүдделі тараптармен міндетті түрде айқындалуға және келісілуге тиіс.</w:t>
      </w:r>
    </w:p>
    <w:p w14:paraId="58CAE4B0"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Коммуникацияларды басқару жоспарының нақты мазмұны әрбір жобаның шарттары мен шектеулеріне байланысты. Ол жобаның қажеттіліктеріне байланысты ресми немесе бейресми, толық немесе жалпыланған болуы мүмкін.</w:t>
      </w:r>
    </w:p>
    <w:p w14:paraId="7AB427C6"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Алдымен жобаға қатысушылардың коммуникациялар мен ақпаратқа және осы қажеттіліктерді қанағаттандырудың қолайлы құралдарына деген қажеттіліктерін анықтау керек. PMI жобаларды басқару халықаралық институтының" жобаларды басқару бойынша білім жинағына басшылық " (PMBOK) жоба менеджеріне жоба коммуникациясының күрделілік дәрежесін бағалау үшін коммуникацияның әлеуетті арналарының санын есептеуді ұсынады. Коммуникация арналарының жалпы саны </w:t>
      </w:r>
      <w:proofErr w:type="gramStart"/>
      <w:r w:rsidRPr="00770E3F">
        <w:rPr>
          <w:rFonts w:ascii="Times New Roman" w:eastAsia="Times New Roman" w:hAnsi="Times New Roman" w:cs="Times New Roman"/>
          <w:sz w:val="20"/>
          <w:szCs w:val="20"/>
          <w:lang w:eastAsia="ru-RU" w:bidi="ru-RU"/>
        </w:rPr>
        <w:t>n(</w:t>
      </w:r>
      <w:proofErr w:type="gramEnd"/>
      <w:r w:rsidRPr="00770E3F">
        <w:rPr>
          <w:rFonts w:ascii="Times New Roman" w:eastAsia="Times New Roman" w:hAnsi="Times New Roman" w:cs="Times New Roman"/>
          <w:sz w:val="20"/>
          <w:szCs w:val="20"/>
          <w:lang w:eastAsia="ru-RU" w:bidi="ru-RU"/>
        </w:rPr>
        <w:t>n - 1)/2 тең, мұнда n — жобаға қатысушылардың саны.</w:t>
      </w:r>
    </w:p>
    <w:p w14:paraId="6C66D016"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xml:space="preserve">Демек, жоба коммуникацияларын жоспарлаудағы негізгі элемент кіммен өзара іс-қимыл жасайтын, кім қандай ақпаратты алатынды және тиісті шектеулерді салуды анықтау болып табылады. Құжат ретінде коммуникацияларды басқару жоспары жобаны басқару жоспарының құрамдас бөлігі болып табылады </w:t>
      </w:r>
      <w:r w:rsidRPr="00770E3F">
        <w:rPr>
          <w:rFonts w:ascii="Times New Roman" w:eastAsia="Times New Roman" w:hAnsi="Times New Roman" w:cs="Times New Roman"/>
          <w:sz w:val="20"/>
          <w:szCs w:val="20"/>
          <w:lang w:eastAsia="ru-RU" w:bidi="ru-RU"/>
        </w:rPr>
        <w:lastRenderedPageBreak/>
        <w:t>немесе оған қосалқы жоспар түрінде енгізіледі және әдетте:</w:t>
      </w:r>
    </w:p>
    <w:p w14:paraId="3F49D14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жобаға қатысушылар тарапынан коммуникацияларға қойылатын талаптар;</w:t>
      </w:r>
    </w:p>
    <w:p w14:paraId="0DED8ECC"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берілетін ақпарат туралы мәліметтер, оның ішінде Пішімі, Мазмұны және детализация деңгейі;</w:t>
      </w:r>
    </w:p>
    <w:p w14:paraId="6D8BD5F7"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ақпаратты беруге жауапты қызметкердің аты;</w:t>
      </w:r>
    </w:p>
    <w:p w14:paraId="289C44D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осы ақпаратты алушы қызметкердің немесе топтың аты - жөні;</w:t>
      </w:r>
    </w:p>
    <w:p w14:paraId="0E0AADED"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ақпаратты беру үшін пайдаланылатын әдістер немесе технологиялар (мысалы, қызметтік жазба, электрондық пошта және/немесе баспасөз хабарламалары);</w:t>
      </w:r>
    </w:p>
    <w:p w14:paraId="4ABF163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байланыс жиілігі (мысалы, апта сайын);</w:t>
      </w:r>
    </w:p>
    <w:p w14:paraId="1FC33F61"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құжаттарды келісу рәсімдері;</w:t>
      </w:r>
    </w:p>
    <w:p w14:paraId="20631D18"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проблемаларды эскалациялау схемасы;</w:t>
      </w:r>
    </w:p>
    <w:p w14:paraId="155FE5AF"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жобаның дамуына қарай коммуникацияларды басқару жоспарын жаңарту әдісі;</w:t>
      </w:r>
    </w:p>
    <w:p w14:paraId="1AFB1463" w14:textId="77777777" w:rsidR="00770E3F" w:rsidRP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 жалпы қабылданған терминологияның глоссарийі.</w:t>
      </w:r>
    </w:p>
    <w:p w14:paraId="7B89AC5E" w14:textId="2D49DB14" w:rsidR="00770E3F" w:rsidRDefault="00770E3F" w:rsidP="00770E3F">
      <w:pPr>
        <w:widowControl w:val="0"/>
        <w:autoSpaceDE w:val="0"/>
        <w:autoSpaceDN w:val="0"/>
        <w:spacing w:before="67" w:after="0" w:line="240" w:lineRule="auto"/>
        <w:ind w:right="402"/>
        <w:jc w:val="both"/>
        <w:rPr>
          <w:rFonts w:ascii="Times New Roman" w:eastAsia="Times New Roman" w:hAnsi="Times New Roman" w:cs="Times New Roman"/>
          <w:sz w:val="20"/>
          <w:szCs w:val="20"/>
          <w:lang w:eastAsia="ru-RU" w:bidi="ru-RU"/>
        </w:rPr>
      </w:pPr>
      <w:r w:rsidRPr="00770E3F">
        <w:rPr>
          <w:rFonts w:ascii="Times New Roman" w:eastAsia="Times New Roman" w:hAnsi="Times New Roman" w:cs="Times New Roman"/>
          <w:sz w:val="20"/>
          <w:szCs w:val="20"/>
          <w:lang w:eastAsia="ru-RU" w:bidi="ru-RU"/>
        </w:rPr>
        <w:t>Коммуникацияларды басқару жоспарына сондай-ақ жобаның ағымдағы жай-күйі бойынша кеңестер, жоба командасының жиналыстары, электрондық кеңестер мен электрондық поштаны тарату қағидаттары енгізілуі мүмкін.</w:t>
      </w:r>
    </w:p>
    <w:p w14:paraId="74D96ED3"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12.10 жобадағы жеткізілімдер мен келісімшарттарды басқару</w:t>
      </w:r>
    </w:p>
    <w:p w14:paraId="547D947B"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Жобаларды жүзеге асыру жұмыстар мен қызметтерді орындау үшін, сондай-ақ қажетті жабдықтар мен материалдық-техникалық ресурстарды сатып алу және жеткізу үшін жекелеген мамандарды, әртүрлі мердігерлік және қосалқы мердігерлік ұйымдар мен фирмаларды тарту үшін пайдаланылатын келісім-шарт негізінде жүргізіледі.</w:t>
      </w:r>
    </w:p>
    <w:p w14:paraId="70B60806"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Келісім-шарттарды басқару және жобаны ресурстармен қамтамасыз ету функциялары келісім-шарт қызметінің стратегиясын таңдау процестерін; ақпараттық-жарнамалық жұмысты; келісім-шарт бойынша тартылатын субъектілердің құрамын, номенклатурасын және мерзімдерін айқындауды; келісім-шарт ұсыныстарын дайындауды; сауда-саттық, конкурстар, тендерлер және т.б. жолымен контрагенттер мен жеткізушілерді таңдауды; құжаттама дайындауды; келісім-шарттар жасасуды; олардың орындалу барысын бақылауды; аяқталған келісім-шарттарды жабу және есеп айырысуды қамтиды.</w:t>
      </w:r>
    </w:p>
    <w:p w14:paraId="125ECA1D"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Жобаның ауқымы, күрделілігі, оның ортасы, қатысушылар мен мүдделі тараптардың саны ақпараттың өзара байланысы мен ағындарының көп санын туындатады. Бұл жоба қатысушыларының қажеттіліктерін қанағаттандыру үшін әртүрлі құралдардың көмегімен ақпараттық алмасу процесін әзірлеу, ұйымдастыру және бақылау мазмұны болып табылатын жобаларды басқарудың арнайы функцияларын енгізуді талап етеді. Бұл басқару функцияларына әдетте жобаның барлық қатысушылары мен оның ортасы үшін қажетті және жеткілікті ақпаратты жинау, беру, қайта өңдеу, сұрыптау, бейнелеу және интерпретациялау процестері кіреді. Бұл ретте ақпараттық алмасудың екі түрі ескеріледі және ерекшеленеді: формальды (ақпараттық технологияларды пайдалану арқылы); формальды емес (тұлғааралық байланыстар және әртүрлі жиналыстар арқылы).</w:t>
      </w:r>
    </w:p>
    <w:p w14:paraId="597C7ECB"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Жобаны жүзеге асыру көптеген элементтердің белгісіздігімен, процестердің өту ықтималдылығымен, яғни белгілі бір тәуекелмен байланысты. Жобаның тәуекел деңгейін арнайы шаралар қабылдау арқылы төмендетуге болады. Жоба тәуекелінің берілген деңгейін ең аз шығындармен қамтамасыз етуге болады. Алайда, бұл жоба табиғатын және оның ортасын терең зерттеуді талап етеді.</w:t>
      </w:r>
    </w:p>
    <w:p w14:paraId="18191DCC"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12.11 жобада ресурстарды басқару</w:t>
      </w:r>
    </w:p>
    <w:p w14:paraId="1698CBBE"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Шын мәнінде, жобаның материалдық ресурстарын басқару техникалық-экономикалық негіздемені әзірлеу кезінде Инвестиция алдындағы фазада басталады, содан кейін жоспарлау фазасында ресурстарға қажеттілік және оларды қамтамасыз ету мүмкіндіктері пысықталады.</w:t>
      </w:r>
    </w:p>
    <w:p w14:paraId="7ECCE713"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Қазіргі уақытта жобаның ресурстары шектеулі, сондықтан ресурстарды басқарудың негізгі міндеттері мыналар болып табылады: ресурстарды оңтайлы жоспарлау; материалдық-техникалық қамтамасыз етуді басқару, оның ішінде: ресурстарды сатып алуды басқару; жабдықтауды басқару; ресурстарды жеткізуді басқару; ресурстар қорларын басқару; жоба жұмыстары бойынша ресурстарды бөлуді басқару.</w:t>
      </w:r>
    </w:p>
    <w:p w14:paraId="15C9C6CE"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Ресурстарды басқару бірқатар негізгі процестерді, оның ішінде сатып алуды, жеткізуді, ресурстарды бөлуді және ресурстар қорларын басқаруды көздейді.</w:t>
      </w:r>
    </w:p>
    <w:p w14:paraId="78DC8CE6"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Ресурстарды сатып алу-ресурстарды басқару жүйесінің орталық элементі. Сатып алулар деп жобаларды ресурстармен — яғни мүлікпен (тауарлармен), жұмыстарды (қызметтерді) орындаумен, нақты жобаға байланысты зияткерлік шығармашылық нәтижелерін берумен қамтамасыз етуге бағытталған іс-шаралар түсініледі. Сатып алу мен жеткізу өзара байланысты және шын мәнінде, жобаны материалдық-техникалық қамтамасыз ету процестерінің екі тарапы болып табылады.</w:t>
      </w:r>
    </w:p>
    <w:p w14:paraId="40163902"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xml:space="preserve">Сатып алуды, жобаны материалдық-техникалық қамтамасыз етуді басқару-сыртқы жеткізуші ұйымдардан жоба бойынша тауарларды, өнімдер мен қызметтерді сатып алу процестерін қамтитын </w:t>
      </w:r>
      <w:r w:rsidRPr="000F5768">
        <w:rPr>
          <w:rFonts w:ascii="Times New Roman" w:eastAsia="Times New Roman" w:hAnsi="Times New Roman" w:cs="Times New Roman"/>
          <w:sz w:val="20"/>
          <w:szCs w:val="20"/>
          <w:lang w:eastAsia="ru-RU" w:bidi="ru-RU"/>
        </w:rPr>
        <w:lastRenderedPageBreak/>
        <w:t>жобаны басқарудың кіші жүйесі. Кіші жүйе материалдық-техникалық қамтамасыз етуді жоспарлаудан, жеткізушілерді таңдаудан, келісімшарттарды жасасудан және оларды жүргізуден, жеткізуді қамтамасыз етуден, келісімшарттарды аяқтаудан тұрады.</w:t>
      </w:r>
    </w:p>
    <w:p w14:paraId="2F95D978"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Жеткізулерді басқару сатып алуды басқарумен қатар дербес кіші жүйе ретінде бөлінеді. Мыналарды қамтиды: жеткізуді жоспарлау; бухгалтерлік есепті ұйымдастыру; тауарды жеткізу, қабылдау және сақтау; жеткізуді есепке алу және бақылау.</w:t>
      </w:r>
    </w:p>
    <w:p w14:paraId="22C49EF9"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Сатып алу мен жеткізуді жоспарлау және ұйымдастыру-жоба ресурстарын басқарудағы бірінші кезең. Жоспарлау және ұйымдастыру жобаның жалпы жоспарымен байланыстыра отырып жобалау-сметалық құжаттама деректерінің негізінде жүзеге асырылады және жүктерді сатып алу және жеткізу циклінің ұзақтығын ескереді. Жеткізушілерді таңдауды, тапсырыстарды орналастыруды және жеткізулерді бақылауды қамтитын кезеңдерден тұрады.</w:t>
      </w:r>
    </w:p>
    <w:p w14:paraId="6C1369C8"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Жеткізушілерді таңдау басқарушылық, техникалық, өндірістік және қаржылық мүмкіндіктерді жария етуге арналған біліктілік сауалнамаларын зерделеу негізінде жүзеге асырылады; сауалнамаларды зерделеу негізінде әзірленетін үміткерлердің тізімі Тапсырыс берушімен және жоба басшысымен келісіледі; жеткізушілерді түпкілікті таңдау сауда-саттық нәтижесінде жүзеге асырылады.</w:t>
      </w:r>
    </w:p>
    <w:p w14:paraId="3FCE07C1"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Тапсырыстарды орналастыру-жобалау ұйымымен бірлесіп сатып алуды стандарттау (номенклатураны қысқарту) жөніндегі іс-шаралар әзірленеді; жалпы тапсырыстар сатып алу номенклатурасын қысқарту жөніндегі жұмыстар негізінде ғана ресімделеді; өтінімдерді бағалау және сауда-саттық өткізу келісім-шарттар жасасу алдындағы; соңғысы жүктерді тасымалдауға және сақтауға қойылатын талаптар, сондай-ақ төлемдер мен сыйлықақы тәртібі мәселелері бойынша сауда-саттық жеңімпаздарымен қосымша кездесулер мен келісулер нәтижесінде жүргізіледі.</w:t>
      </w:r>
    </w:p>
    <w:p w14:paraId="5E0C58BE"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Жеткізілімдерді бақылау-арнайы кестелер негізінде жүзеге асырылады; жеткізілімдердің әрбір түрі (жабдық, жұмыстар, жергілікті материалдар, қызметтер) бойынша ұйымдастырылады; жобаның жалпы жоспарына негізделеді; барлық өзгерістер жобаның жалпы кестесіне енгізіледі; Есептіліктің стандарттық нысандарына негізделеді.</w:t>
      </w:r>
    </w:p>
    <w:p w14:paraId="1AB564DD"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Сатып алу процестері ресурстарды басқаруда неғұрлым күрделі болып табылады және мұқият пысықтауды талап етеді. Логикалық реттілікте бірқатар негізгі ұғымдарды келтіреміз.</w:t>
      </w:r>
    </w:p>
    <w:p w14:paraId="3BEB4515"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 бойынша сатып алу стратегиясы-жобаның қоршаған ортасымен нақты жоба бойынша сатып алу ерекшелігінің өзара байланысының әдістері, қағидаттары жүйесі.</w:t>
      </w:r>
    </w:p>
    <w:p w14:paraId="4BC60574"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 бойынша сатып алудың (қамтамасыз етудің) келісім — шарттар және Жоба кезеңдері бойынша жұмыс құрылымымен өзара байланысы-жоба жұмыстары байланыстарының және мерзімдер мен келісім-шарттардың бөліністерінде талап етілетін ресурстармен қамтамасыз етудің қалыптасқан құрылымы. Келісім — шарт бойынша сатып алуды жоспарлау-нәтижесінде сатып алу (жобаны қамтамасыз ету) жөніндегі қызмет қағидаттарын белгілейтін, уақыт, шығындар, орындаушылар, өнім берушілер, келісім-шарттар бойынша сатып алу процесін нақтылайтын сатып алу жөніндегі құжаттама қалыптасатын процесс,</w:t>
      </w:r>
    </w:p>
    <w:p w14:paraId="06CC1048"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жобаның кезеңдері мен ресурстар түрлері.</w:t>
      </w:r>
    </w:p>
    <w:p w14:paraId="5D99452A"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Сатып алу көздерін таңдау-ресурстары, сенімділігі мен өндірістік көрсеткіштері сатып алу мақсаттарына қол жеткізуді қамтамасыз етуі тиіс ұйымды және/ немесе индивидтерді таңдау процесі.</w:t>
      </w:r>
    </w:p>
    <w:p w14:paraId="5BFF4023"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Сатып алу көздерін бағалау-ұсыныстар туралы сұрау салуды жіберу үшін не келісім-шарт жасасу мақсатында олармен келіссөздерді бастау үшін ықтимал өнім берушілерді жалпы зерделеу.</w:t>
      </w:r>
    </w:p>
    <w:p w14:paraId="6A4C5D6C"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 бойынша сатып алу үшін өнім берушілерді тексеру (бағалау) — нақты өнім берушілердің жобаның келісімшарттық фазасындағы келіссөздер сатысында Жоба мақсаттарына сәйкестігін біліктілік тексеру.</w:t>
      </w:r>
    </w:p>
    <w:p w14:paraId="0EA8E8DB"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Сатып алу (жобаны қамтамасыз ету) кезеңінде өнім берушілердің техникалық құзыреттілігін қарау — өнім берушілер мен олардың өнімдерінің (материалдарының, қызметтерінің) жобаның техникалық талаптарына сәйкестігін бағалау.</w:t>
      </w:r>
    </w:p>
    <w:p w14:paraId="00F9CD43"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Сатып алу (жеткізу) бойынша келіссөздер — өнім берушілерді бағалауды, жеткізу шарттарын талқылауды, жеткізу бойынша келісім-шарттардың жобаларын қамтитын жобаның кезеңі. Сатып алу процестерін қолдау жүйесінің бөлігі.</w:t>
      </w:r>
    </w:p>
    <w:p w14:paraId="0A44438F"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Сатып алу құнын қарау-Тапсырыс берушінің бағаға көзқарасты, оның шынайылығы мен ақылдылығын қарауы, жоба құнына қатысты шығындар мен тәуекелдерге экономикалық факторлардың әсерін болжау.</w:t>
      </w:r>
    </w:p>
    <w:p w14:paraId="00FF146B" w14:textId="77777777" w:rsid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 бойынша сатып алудың орындалуын бағалау-басқа жобаларда болашақ қолдану мақсатында статистиканы және ақпарат базасын жүргізу үшін жобаның фазалары бойынша сатып алу процестерін қадағалау, бағалау (қамтамасыз ету) жүйесі.</w:t>
      </w:r>
    </w:p>
    <w:p w14:paraId="3BB285C1"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xml:space="preserve">Бұл бөлімде ресурстарды басқару контексті бойынша қажетті негізгі қағидаттар мен ұғымдар келтірілген. Жоспарлау кезеңінде шектеулер ескеріле отырып, жұмыс кешендері мен тұтынылатын ресурстарға теңгерімді талдау және ресурстарға қажеттілік графиктері негізінде оларды болжамды бөлу жүргізіледі. Жоба бойынша ресурстарды жоспарлау-ресурстарды сатып алу бойынша келісім-шарттар жасасу үшін ресурстармен қамтамасыз ету мүмкіндігін анықтау, ресурстарды жеткізуді </w:t>
      </w:r>
      <w:r w:rsidRPr="000F5768">
        <w:rPr>
          <w:rFonts w:ascii="Times New Roman" w:eastAsia="Times New Roman" w:hAnsi="Times New Roman" w:cs="Times New Roman"/>
          <w:sz w:val="20"/>
          <w:szCs w:val="20"/>
          <w:lang w:eastAsia="ru-RU" w:bidi="ru-RU"/>
        </w:rPr>
        <w:lastRenderedPageBreak/>
        <w:t>жоспарлау, сондай-ақ жоба жұмыстары бойынша сатып алынған ресурстарды бөлудің негізі.</w:t>
      </w:r>
    </w:p>
    <w:p w14:paraId="4AC211B5"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Жобаларды басқарудың негізгі құрамдас бөлігі ретінде ресурстық жоспарлау бірқатар компоненттерді қамтиды, оның ішінде:</w:t>
      </w:r>
    </w:p>
    <w:p w14:paraId="122E295E"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Жоба мақсаттарына қол жеткізуге бағытталған жұмыстар мен ресурстар кешендерін әзірлеу және теңгерімді талдау;</w:t>
      </w:r>
    </w:p>
    <w:p w14:paraId="0FF5C21C"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ресурстарды бөлу жүйесін әзірлеу және жауапты орындаушыларды тағайындау;</w:t>
      </w:r>
    </w:p>
    <w:p w14:paraId="6224602C"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жұмыс барысын бақылау — жұмыстың жоспарлы параметрлерін нақты және түзету әсерін жасау.</w:t>
      </w:r>
    </w:p>
    <w:p w14:paraId="288A5413"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Тиісінше әрбір жұмыспен ресурстарға қажеттілік функциясын байланыстыруға және жалпы жоба бойынша ресурстарға қажеттілікті Күнтізбелік жоспарлау әдістерімен және теңестіру әдістерімен қажеттіліктердің қолда бар болуына немесе ресурстармен қамтамасыз ету мүмкіндіктеріне сәйкестігін қамтамасыз етуге болады.</w:t>
      </w:r>
    </w:p>
    <w:p w14:paraId="5DC81971"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Уақыт бойынша шектеу кезінде ресурстық жоспарлау; шектеулі ресурстар кезінде жоспарлау жоба ресурстарын жоспарлаудың екі негізгі әдісі бар.</w:t>
      </w:r>
    </w:p>
    <w:p w14:paraId="6084FB43"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Бірінші тәсіл-уақыт бойынша шектеу кезіндегі ресурстық жоспарлау</w:t>
      </w:r>
    </w:p>
    <w:p w14:paraId="68A812CD"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жоба аяқталуының белгіленген күнін және қайта тиеу кезеңдеріне жобаға қосымша ресурстарды тағайындауды болжайды.</w:t>
      </w:r>
    </w:p>
    <w:p w14:paraId="12E63E08"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Екінші тәсіл-шектеулі ресурстарда жоспарлау-бастапқы берілген қол жетімді ресурстардың саны өзгертілмейді және жобаның негізгі шектелуі болып табылады.</w:t>
      </w:r>
    </w:p>
    <w:p w14:paraId="25E6808A"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Ресурстық жоспарлау нәтижесінде жоба менеджері ресурстарды басқарудың келесі фазасына — ресурстарды сатып алу мен жеткізуді ұйымдастыруға көшу мүмкіндігін алады.</w:t>
      </w:r>
    </w:p>
    <w:p w14:paraId="16DDFA7D"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Жобаны әзірлеу (жоспарлау) сатысында технологиялық жинақтау моделі құрылады. Жоба жоспарларының құрамында белгілі бір біріздендірілген нормативтік-технологиялық құжаттама (УТҚС) — жобаның өндірістік-технологиялық жиынтығының нормативтік базасы болып табылатын құжаттар кешені әзірленеді.</w:t>
      </w:r>
    </w:p>
    <w:p w14:paraId="5CDF4468"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Құрылыс ұйымдары арқылы өндірістік-құрылыс жиынтығының дамуымен қатар тапсырыс берушінің жобалық командаларының тапсырыстары бойынша аумақтық-делдалдық кәсіпорындар (сауда орындары) арқылы құрылыстарды жабдықтау нысаны айтарлықтай дамыды.</w:t>
      </w:r>
    </w:p>
    <w:p w14:paraId="7C50300E"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Сатып алулар мен жеткізілімдерді басқару мәселелері ресурстар қорларын басқару мәселелерімен өзара байланысты. "Не сатып алу керек" мәселелерін шешу үшін: қанша сатып алу қажет (қандай көлеммен және қандай жеткізу жиілігімен), ал осыған сәйкес әрбір ресурстың қандай көлемі белгілі бір қор түрінде болу қажет деп анықталады.:</w:t>
      </w:r>
    </w:p>
    <w:p w14:paraId="2B5086F8"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жұмыс жүргізуге арналған ресурстың жетіспеушілігіне байланысты өндірістік үдерісті тоқтату тәуекелін азайту;</w:t>
      </w:r>
    </w:p>
    <w:p w14:paraId="4B569190"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ресурсты жеткізу сәттері арасында ырғақты өндірісті қамтамасыз ету.</w:t>
      </w:r>
    </w:p>
    <w:p w14:paraId="531B275D"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Регламентті және жеткізу көлемін және қорларды анықтау міндеті ресурстарды басқарудың оңтайландырылған міндеттерінің класына жатады. Ретінде мақсатты функцияларын басқару қорларымен ретінде жиынтық ұстауға арналған шығындар қорларының және қойма операциялары, жоғалтудан, бүлінуден сақтау кезінде және т. б Мұндай шығындар болуы тиіс минимизироваться. Бұл міндетте қорлардың көлемі; оларды толтыру (жеткізу) жиілігі, мерзімдері мен көлемдері; қор түрінде сақталатын ресурстың дайындық дәрежесі басқарылатын параметрлер болып табылады.</w:t>
      </w:r>
    </w:p>
    <w:p w14:paraId="53C203C2"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Тапсырыс нүктесі немесе шекті қор — оны толықтыру үшін жаңа тапсырыс қажет болатын ресурс қорының ең аз шамасы немесе Тапсырыс жасалуға тиіс уақыт сәті.</w:t>
      </w:r>
    </w:p>
    <w:p w14:paraId="551715AC"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Сақтандыру (резервтік) қоры — жоспарланғандармен салыстырғанда жеткізу барысы бұзылған жағдайда өндірісті үздіксіз жабдықтауға арналған ресурстардың ең аз мақсатты қоры. Резервтік қор оңтайландыру есебі арқылы анықталады; бұл ретте ресурстарды жеткізу шарттары, жоба бойынша жұмыстардың жоспарлы барысы үшін ресурстың маңыздылығы (сындылығы), жеткізу тәуекелдерінің болуы және т. б. назарға алынады.</w:t>
      </w:r>
    </w:p>
    <w:p w14:paraId="71A74C69"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Қорларды басқару деп қордың жай-күйін бақылау және жобаны тиімді іске асыру үшін қажетті қорларды ұстау жөніндегі шығындарды азайту есебінен уақыт пен қаражатты үнемдеуге бағытталған шешімдер қабылдау түсініледі.</w:t>
      </w:r>
    </w:p>
    <w:p w14:paraId="3A2B4BAF"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Қорларды басқару жүйесінің мақсаты-қорларды күтіп-ұстауға арналған ең аз ықтимал шығындар кезінде жоба бойынша жұмыстарды белгіленген мерзімде және жоспарланған сапада орындау процестерін үздіксіз қамтамасыз ету.</w:t>
      </w:r>
    </w:p>
    <w:p w14:paraId="2A035603"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Ресурстардың әрбір түрі бойынша қорлардың мөлшері олардың ерекшелігімен, жеткізудегі ауытқулармен, жоба бойынша жұмыстар үшін маңыздылығымен айқындалады. Ең аз қажетті резервтік немесе сақтандыру, ешқашан шығындалмайтын қор мөлшері көзделеді.</w:t>
      </w:r>
    </w:p>
    <w:p w14:paraId="5D0777F8"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lastRenderedPageBreak/>
        <w:t xml:space="preserve">Ресурстарды жеткізуге жауапты жоба командасының менеджерлері қорлардың көлеміне де жауап </w:t>
      </w:r>
      <w:proofErr w:type="gramStart"/>
      <w:r w:rsidRPr="000F5768">
        <w:rPr>
          <w:rFonts w:ascii="Times New Roman" w:eastAsia="Times New Roman" w:hAnsi="Times New Roman" w:cs="Times New Roman"/>
          <w:sz w:val="20"/>
          <w:szCs w:val="20"/>
          <w:lang w:eastAsia="ru-RU" w:bidi="ru-RU"/>
        </w:rPr>
        <w:t>береді,яғни</w:t>
      </w:r>
      <w:proofErr w:type="gramEnd"/>
      <w:r w:rsidRPr="000F5768">
        <w:rPr>
          <w:rFonts w:ascii="Times New Roman" w:eastAsia="Times New Roman" w:hAnsi="Times New Roman" w:cs="Times New Roman"/>
          <w:sz w:val="20"/>
          <w:szCs w:val="20"/>
          <w:lang w:eastAsia="ru-RU" w:bidi="ru-RU"/>
        </w:rPr>
        <w:t xml:space="preserve"> жоспарланған көрсеткіштерге сәйкес жобаны үздіксіз іске асыруды қамтамасыз ету үшін жобаның жұмыстары бойынша ресурстардың кіріс жеткізілімдері мен Шығыс (бөлінетін) ағындары арасындағы балансты қолдайды.</w:t>
      </w:r>
    </w:p>
    <w:p w14:paraId="02925EDB"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Соңғы жылдары жобаларды материалдық-техникалық қамтамасыз ету тәжірибесінде логистика тұжырымдамасына негізделген жаңа әдістер мен технологиялар пайдаланыла бастады.</w:t>
      </w:r>
    </w:p>
    <w:p w14:paraId="444DB167"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Материалдық-техникалық қамтамасыз ету саласындағы Логистика:</w:t>
      </w:r>
    </w:p>
    <w:p w14:paraId="739B9EF3"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өндірісті ұтымды ұйымдастыру және тарату, ол өндіріс құралдарын жабдықтау, өткізу және бөлуді кешенді зерттейді;</w:t>
      </w:r>
    </w:p>
    <w:p w14:paraId="342DBBA7"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белгіленген уақытта және осы өнімге қажеттілік қалыптасқан алдын ала белгіленген орында өнімнің қажетті санын алу мақсатында әр түрлі қызмет түрлерінің жиынтығы;</w:t>
      </w:r>
    </w:p>
    <w:p w14:paraId="5984B462"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өндірістік-көліктік жүйелердің барлық элементтерінің өзара әрекеттесуі</w:t>
      </w:r>
    </w:p>
    <w:p w14:paraId="5308EEB7"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өндірістен тұтынуға дейін;</w:t>
      </w:r>
    </w:p>
    <w:p w14:paraId="18BAB787"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кеңістікте және уақытта өнімді физикалық бөлу процесін басқару;</w:t>
      </w:r>
    </w:p>
    <w:p w14:paraId="4E1F6FBD"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өткізу және көлікпен жабдықтаудың өзара байланысы және өзара іс-қимылы;</w:t>
      </w:r>
    </w:p>
    <w:p w14:paraId="270E7A42"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-клиентурамен және оларды қажетті ақпараттық қамтамасыз етумен талап етілген барлық көліктік, тиеу-түсіру және басқа да операцияларды қоса алғанда, өндірістік және тасымалдау процестерін интеграциялау;</w:t>
      </w:r>
    </w:p>
    <w:p w14:paraId="7174EC39"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кәсіпорынға келіп түсетін, онда өңделетін және осы кәсіпорыннан шығатын материалдық ағынның және оған сәйкес келетін ақпараттық ағынның жоспарлау, басқару және бақылау;</w:t>
      </w:r>
    </w:p>
    <w:p w14:paraId="2D973407"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материалдық, ақпараттық, адам және энергетикалық ағындарды жоспарлау, басқару және бақылау;</w:t>
      </w:r>
    </w:p>
    <w:p w14:paraId="1CB3CAFC"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материалдық ресурстарды физикалық бөлу, осы процесті техникалық, технологиялық, ұйымдастырушылық және ақпараттық қамтамасыз ету.</w:t>
      </w:r>
    </w:p>
    <w:p w14:paraId="387EE23D"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Логистиканың мақсаты материалдық ағындарды оңтайлы басқару негізінде тұтынушылардың қажеттіліктерін қанағаттандыру болып табылады, ол үшін логистикада ақпараттық ағын ұйымдастырылады.</w:t>
      </w:r>
    </w:p>
    <w:p w14:paraId="76BA1CF1"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Материалдық ағын-оған әртүрлі логистикалық операцияларды (тасымалдау, қоймалау және т.б.) қосымша процесінде қарастырылатын және уақыт аралығына жатқызылған өнім.</w:t>
      </w:r>
    </w:p>
    <w:p w14:paraId="5CF54123"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Материалдық ағындармен неғұрлым жиі кездесетін логистикалық операциялар Көлік құралдарын жинау, тасымалдау, жинақтау, тиеу, түсіру және т.б. болып табылады.</w:t>
      </w:r>
    </w:p>
    <w:p w14:paraId="47D0B1A8"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Осылайша, материалдық ағындар бастапқы көзден бастап соңғы тұтынушыға дейін шикізатпен, жартылай фабрикаттармен, дайын бұйымдармен операцияларды тасымалдау, жинақтау, орындау нәтижесінде құралады.</w:t>
      </w:r>
    </w:p>
    <w:p w14:paraId="2C3C60FC"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Ақпараттық ағын-логистикалық жүйеде, сондай-ақ логистикалық жүйе мен сыртқы орта арасында айналымдағы логистикалық операцияларды басқару және бақылау үшін қажетті хабарламалар жиынтығы.</w:t>
      </w:r>
    </w:p>
    <w:p w14:paraId="23616D0E" w14:textId="77777777" w:rsidR="000F5768" w:rsidRP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Ақпарат ағыны материалдық ағынға сәйкес келеді және қағаз немесе электрондық құжат түрінде болуы мүмкін. Ақпараттық ағындар пайда болу көзімен, ағынның қозғалыс бағытымен, беру және қабылдау жылдамдығымен, қарқындылықпен сипатталады.</w:t>
      </w:r>
    </w:p>
    <w:p w14:paraId="5EA6BA67" w14:textId="77777777" w:rsidR="000F5768" w:rsidRDefault="000F5768" w:rsidP="000F5768">
      <w:pPr>
        <w:widowControl w:val="0"/>
        <w:autoSpaceDE w:val="0"/>
        <w:autoSpaceDN w:val="0"/>
        <w:spacing w:before="67" w:after="0" w:line="240" w:lineRule="auto"/>
        <w:ind w:left="399" w:right="390"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Логистикалық жүйенің негізгі мақсаты-ресурстарды қажетті мөлшерде және ассортиментте және логистикалық шығындардың белгіленген деңгейінде қажетті орынға тұтынуға дайын барынша мүмкін болатын дәрежеде жеткізу.</w:t>
      </w:r>
    </w:p>
    <w:p w14:paraId="360A0CC4"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Логистикалық шығындар-логистикалық операцияларды орындауға арналған шығындар (қоймалау, тасымалдау, жинау, сақтау және тапсырыстар, қорлар, жеткізілімдер және т.б. туралы деректерді беру).</w:t>
      </w:r>
    </w:p>
    <w:p w14:paraId="3A9891E5"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Логистика функцияларының арасында өндірістік процестерді тікелей орындаумен байланысты өндірістік және ақпаратты жинаумен және жобаны материалдық-техникалық қамтамасыз ету бойынша шешімдер қабылдаумен байланысты басқару қызметтерін бөліп көрсетуге болады.</w:t>
      </w:r>
    </w:p>
    <w:p w14:paraId="0A21DE1A"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Логистиканың негізгі өндірістік функцияларына жабдықтау (сатып алу), өндіру және өткізу (сұранысты зерделеу, тасымалдау, дайын өнімді өткізу, сауда, бөлу, тапсырыс берушілерге қызмет көрсету, сақтандыру, кредит беру және төлем функциялары және т.б.) жатады.</w:t>
      </w:r>
    </w:p>
    <w:p w14:paraId="5052521A"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xml:space="preserve">Ең жалпы басқару функциялары — зерттеу, талдау, болжау, шешімдер қабылдау, жоспарлау, ұйымдастыру, бақылау, қаралған өндірістік функцияларды есепке алу — жабдықтау, өндіріс және өткізу — атап айтқанда, және тұтастай алғанда материалдық ағынның. Логистиканы басқару функциялары жоба бойынша маркетинг функцияларымен (өнім номенклатурасын басқару, нарық </w:t>
      </w:r>
      <w:r w:rsidRPr="000F5768">
        <w:rPr>
          <w:rFonts w:ascii="Times New Roman" w:eastAsia="Times New Roman" w:hAnsi="Times New Roman" w:cs="Times New Roman"/>
          <w:sz w:val="20"/>
          <w:szCs w:val="20"/>
          <w:lang w:eastAsia="ru-RU" w:bidi="ru-RU"/>
        </w:rPr>
        <w:lastRenderedPageBreak/>
        <w:t>сыйымдылығын және фирманың нарық үлесін болжау, баға саясатын қалыптастыру және т.б.), сондай-ақ Жобаны басқарудың барлық кіші жүйелерімен тығыз байланыста іске асырылады.</w:t>
      </w:r>
    </w:p>
    <w:p w14:paraId="0124944E"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xml:space="preserve">Материалдық ресурстар-жобаның маңызды басқарылатын аспектілерінің бірі және тиісінше ресурстарды басқару жүйесі жобаларды басқарудың негізгі кіші жүйелерінің қатарында болады. Шын мәнінде, материалдық ағындардың оңтайлылығын қамтамасыз етуге логистикалық тәсіл ресурстық қамтамасыз ету саласындағы жобаларды басқарудағы жүйелі тәсілге толық сәйкес келеді. Жоба, жүйе өмірлік цикл шегінде жұмыс </w:t>
      </w:r>
      <w:proofErr w:type="gramStart"/>
      <w:r w:rsidRPr="000F5768">
        <w:rPr>
          <w:rFonts w:ascii="Times New Roman" w:eastAsia="Times New Roman" w:hAnsi="Times New Roman" w:cs="Times New Roman"/>
          <w:sz w:val="20"/>
          <w:szCs w:val="20"/>
          <w:lang w:eastAsia="ru-RU" w:bidi="ru-RU"/>
        </w:rPr>
        <w:t>істейді,:</w:t>
      </w:r>
      <w:proofErr w:type="gramEnd"/>
    </w:p>
    <w:p w14:paraId="735A142D"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-осы тарауда қарастырылатын материалдық-техникалық және еңбек, сондай-ақ қаржылық және уақытша ресурстарды, жоба командасын, ақпаратты, білімді, технологияларды және кіріс параметрлері бойынша әртүрлі шектеулерді қоса алғанда, жобаның барлық ресурстары ретінде әрекет ететін "кіру";</w:t>
      </w:r>
    </w:p>
    <w:p w14:paraId="61C50A1E"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жобаны басқарудың түпкілікті мақсатына қол жеткізу үшін оларды оңтайлы пайдалануды қамтамасыз ету мақсатында шектеулер мен өлшемдік көрсеткіштерді ескере отырып, осы ресурстарды өңдеудің өзара байланысты процестерінің кешені-жоспарланған көрсеткіштермен жобаның нәтижесін қалыптастыру;</w:t>
      </w:r>
    </w:p>
    <w:p w14:paraId="5F220B5F"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жоба нәтижесі болып табылатын" шығу".</w:t>
      </w:r>
    </w:p>
    <w:p w14:paraId="381B199F"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Жобаны басқару шеңберінде ресурстардың материалдық ағындары және Жобаны басқару процестерінің тиімділігін көрсететін немесе жұмыстың жоспарланған барысында бұзушылықтар туралы белгі беретін ақпарат ағындары жұмыс істейді.</w:t>
      </w:r>
    </w:p>
    <w:p w14:paraId="02B2C800"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Осылайша, логистика, мақсаты бола отырып, жобаны басқару жүйесінің жұмыс істеу тиімділігін арттыру оның ажырамас бөлігі болып табылады және материалдық ресурстар ағындарын басқарумен айналысады.</w:t>
      </w:r>
    </w:p>
    <w:p w14:paraId="1FAF564F"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Жобаны басқарудың кіші жүйелерінде логистикалық көзқарас тұрғысынан және әрбір қатысушының мүдделерін ескере отырып, мынадай мәселелер өзара байланыстырылады: ресурстарды бөлудің жалпы тұжырымдамасын әзірлеу; жабдықтау нысанын таңдау; қойма шаруашылығын орналастыру; көлік түрін және көлік құралдарының типін таңдау; ресурстар мен өнімдерді тасымалдауды ұйымдастыру; тасымалдаудың ұтымды бағыттарын таңдау; жеткізу пункттерін таңдау; қоймалық қызмет көрсетудің ұтымды радиусын таңдау; қойма жүйелерін (Орталық, өңірлік, қайта тиеу) орналастыру және т. б.</w:t>
      </w:r>
    </w:p>
    <w:p w14:paraId="248ED1EC"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Материалдық ресурстарды басқаруды ұйымдастырудың нақты нысанын таңдау жобаның ерекшелігіне байланысты.</w:t>
      </w:r>
    </w:p>
    <w:p w14:paraId="1617FE37"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Жобаларды басқарудың логистикалық кіші жүйесі материалдық (ресурстық) ағындарға бағытталған, яғни, іс жүзінде ресурстарды басқарудың кіші жүйесі болып табылады.</w:t>
      </w:r>
    </w:p>
    <w:p w14:paraId="31802F4A"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Сатып алу (жабдықтау) логистикасы бірінші логистикалық кіші жүйе бола отырып, сатып алу нарығынан қоймаларға дейін шикізат, материалдар, жиынтықтаушы және қосалқы бөлшектер қозғалысының процесі болып табылады. Сатып алу логистикасының тиімді жұмыс істеуі үшін жобаны іске асыру үшін қандай ресурстар мен материалдардың қажет екенін білу, жобаның барлық қатысушыларының іс-қимылдарының келісімділігін қамтамасыз ететін сатып алу жоспарын құру және келесі міндеттерді шешу қажет: қажеттілікті талдау және анықтау, тапсырыс берілетін материалдардың санын есептеу; сатып алу әдісін анықтау; бағаның келісілуі және шарт жасасу; жеткізу санына, сапасына және мерзімдеріне бақылау орнату; қоймаларда ресурстарды орналастыруды ұйымдастыру.</w:t>
      </w:r>
    </w:p>
    <w:p w14:paraId="1DA30346"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12.12 жобадағы өзгерістерді басқару</w:t>
      </w:r>
    </w:p>
    <w:p w14:paraId="11C162A8"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Жобаларды басқару бөлімі, оның өмірлік циклі ішінде жүзеге асырылатын жобадағы өзгерістерді біріктіру және басқару үшін формальды процестер мен рәсімдерді қамтиды. Өзгерістерді болжаудан, жоспарлаудан, жүзеге асырудан, бақылаудан және реттеуден тұрады.</w:t>
      </w:r>
    </w:p>
    <w:p w14:paraId="42F292C9"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Жобадағы өзгерістер-өте қауіпті нәрсе. Бұл өзгерістерді зерттеу және бағалау бір ғана уақыт пен күш жұмсауға болады. Мәселелер туралы барлық хабарламаларға өзгерістерді, оларды талдаумен, сонымен қатар орындауды жоспарлаумен ден қою қажет. Сондықтан өзгерістерді басқаруға шағын"жобадағы жобаға" жақындау керек.</w:t>
      </w:r>
    </w:p>
    <w:p w14:paraId="6EF5F4FF"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Жобаның табысы үшін бастапқы анықталған және келісілген құрылымдарда, жұмыстардың көлемі, мазмұны мен нәтижелерінде жоба барысында туындайтын сөзсіз өзгерістерді бақылаумен ұстау мүмкіндігі өте маңызды.</w:t>
      </w:r>
    </w:p>
    <w:p w14:paraId="6CC4BB84"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Жобаланған өзгерістерді басқару процесі жобада мүмкіндігінше ертерек және оның пәндік саласын формальды анықтаудың аяқталуынан кешікпей іске қосылуы тиіс.</w:t>
      </w:r>
    </w:p>
    <w:p w14:paraId="525AB1E9"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Өзгерістерді басқару процесінің басты мәні пәндік саладағы өзгерістер туралы шешім қабылданған кез келген уақытта осы өзгерістердің қаржы құраушы жобаға әсері ескерілуі болып табылады. Жобаның пәндік саласындағы аталған өзгерістер жұмыстың көлемін және бүкіл жобаның құнын міндетті түрде ұлғайтпайды. Нақты өмірде жоба жұмысының көлемін арттыратын өзгерістер, әрине, жиі орын алады.</w:t>
      </w:r>
    </w:p>
    <w:p w14:paraId="7C681454"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xml:space="preserve">Кәсіпорынның стратегиясындағы, өндірістік процестеріндегі, құрылымы мен мәдениеттегі өзгерістер біртіндеп, ұсақ қадамдар түрінде немесе түбегейлі, ірі секірулер түрінде жүзеге асырылуы мүмкін. Осыған байланысты өзгерістердің эволюциялық және революциялық модельдері туралы </w:t>
      </w:r>
      <w:r w:rsidRPr="000F5768">
        <w:rPr>
          <w:rFonts w:ascii="Times New Roman" w:eastAsia="Times New Roman" w:hAnsi="Times New Roman" w:cs="Times New Roman"/>
          <w:sz w:val="20"/>
          <w:szCs w:val="20"/>
          <w:lang w:eastAsia="ru-RU" w:bidi="ru-RU"/>
        </w:rPr>
        <w:lastRenderedPageBreak/>
        <w:t>айтады. Революциялық өзгерістерді шаруашылық қызметтің реинжинирингі шеңберінде ұсынуға болады.</w:t>
      </w:r>
    </w:p>
    <w:p w14:paraId="3FE0CECE"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Реинжиниринг объектісі ұйым емес, процестер болып табылады. Кәсіпорынның жатады реинжиниринг емес, өз бөлімдері сату немесе өндіру және жұмысты орындайтын персонал осы бөлім бар.</w:t>
      </w:r>
    </w:p>
    <w:p w14:paraId="2E6A8B14"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Кәсіпорын процестерін бастапқы анықтау үшін ИСО 9001 сапа жүйесі бағдар бола алады. ИСО 9001 стандартында кәсіпорынның бизнес-функциялары немесе басқа сөзбен айтқанда, стандарттың күші қолданылатын сапа элементтері атап көрсетіледі: басшылық жауапкершілігі; сапа жүйесі; келісім-шартты талдау; жобалауды басқару; құжаттаманы басқару; өнімді сатып алу; тұтынушы ұсынған өнім; Өнімді сәйкестендіру және бақылау; процестерді басқару; сынақтарды бақылау және жүргізу; Бақылау, өлшеу және сынақ жабдығы; бақылау және сынау мәртебесі; сәйкес келмейтін өнімді басқару; түзетуші және ескерту әрекеттері; тиеу-түсіру жұмыстары, сақтау, орау және жеткізу; сапа туралы деректерді тіркеу; сапаны ішкі тексеру; кадрларды даярлау; техникалық қызмет көрсету; статистикалық әдістер.</w:t>
      </w:r>
    </w:p>
    <w:p w14:paraId="48665ABA"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Реинжинирингтік іс-шаралар тәртібін анықтау кезінде процестерді сәйкестендіргеннен кейін үдерістерді ауыстыру кезектілігін анықтайтын үш критерий пайдаланылады. Біріншісі-дисфункционалдылық: қандай процестерді жүзеге асыру үлкен қиындықтармен байланысты? Екіншісі-маңыздылығы: компания клиенттеріне қандай процестер әсер етеді? Үшіншісі-жүзеге асыру: қазіргі уақытта компанияда болып жатқан процестердің қайсысы табысты жобалануы мүмкін?</w:t>
      </w:r>
    </w:p>
    <w:p w14:paraId="19B370F5"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Бизнестің реинжиниринг жобасы әдетте келесі төрт кезеңді қамтиды:</w:t>
      </w:r>
    </w:p>
    <w:p w14:paraId="14012340"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1. Болашақ компанияның бейнесін жасау;</w:t>
      </w:r>
    </w:p>
    <w:p w14:paraId="0AB2033A"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2. Бар компанияның моделін құру (кері инжиниринг);</w:t>
      </w:r>
    </w:p>
    <w:p w14:paraId="6A328BA7"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3. Жаңа бизнес әзірлеу (тікелей инжиниринг);</w:t>
      </w:r>
    </w:p>
    <w:p w14:paraId="30247FBA"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3.1 бизнес-процестерді қайта жобалау;</w:t>
      </w:r>
    </w:p>
    <w:p w14:paraId="0344D84B"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3.2 Еңбек ресурстары деңгейінде компанияның бизнес-процестерін әзірлеу;</w:t>
      </w:r>
    </w:p>
    <w:p w14:paraId="032A60EF"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3.3 қолдаушы Ақпараттық жүйелерді әзірлеу;</w:t>
      </w:r>
    </w:p>
    <w:p w14:paraId="0BD56056"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4. Қайта жобаланған процестерді енгізу.</w:t>
      </w:r>
    </w:p>
    <w:p w14:paraId="13DD6D80"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Әрине, келтірілген дәйектілік бірнеше шартты, алайда компания бизнесін өзгерту жөніндегі әрбір жобада осы кезеңдер бар.</w:t>
      </w:r>
    </w:p>
    <w:p w14:paraId="30BE8470"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Процесті қайта жобалау үшін реинжиниринг командасы ағымдағы процестің жағдайы туралы негізгі ақпаратты алуы тиіс: ол немен, шын мәнінде, ол қаншалықты жақсы (немесе жаман) жұмыс істейді, оның нәтижелеріне қандай негізгі мәселелер әсер етеді. Команданың мақсаты бар үдерісті жақсарту болып табылмайтындықтан, барлық бөлшектерді аша отырып, оны талдау және Құжаттаудың қажеті жоқ. Керісінше, команда мүшелері интуиция және шығармашылық ой-пікір негізінде мүлдем жаңа, үздік жоба жасау үшін жиі жеткілікті ірілендірілген шолуды қажет етеді.</w:t>
      </w:r>
    </w:p>
    <w:p w14:paraId="6E68C81D" w14:textId="77777777" w:rsid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Тәжірибеге сүйену тәуекелдің төмендеуіне, тәжірибе арқылы өзіндік схемалардың атқарылуына байланысты уақытша және қаржылық шығындардың қысқаруына ықпал етеді. Әсіресе, бенчмаркингті пайдалану реформаланатын кәсіпорынға ішкі кеңесшілер командасын құруға, тәжірибе жинақтауға, ұйым мен басқаруды одан әрі жетілдіру үшін база дайындауға мүмкіндік беретінін атап өткен жөн.</w:t>
      </w:r>
    </w:p>
    <w:p w14:paraId="6214DEC4"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Осылайша, реинжиниринг басқа қазіргі заманғы бастамалардан алшақтайтын үрдіс болып табылмайды; керісінше, бұл іс жүргізуге бағытталған стратегиялар мен басқару әдістерінің отбасының соңғы өкілдерінің бірі, оларға сондай-ақ әдістемелер жатады</w:t>
      </w:r>
    </w:p>
    <w:p w14:paraId="55B2EB54"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"дәл мерзімде" және сапаны жаппай басқару. Және реинжиниринг және сапаны жаппай басқару кәсіпорынды ашық жүйе ретінде қарастыра отырып, клиенттің қажеттіліктерін барынша қанағаттандыруға бағытталған және кәсіпорында бар процестердің тиімділігіне күмән келтіреді. Дегенмен, бұл екі стратегия әр түрлі және бір-бірін толықтырады.</w:t>
      </w:r>
    </w:p>
    <w:p w14:paraId="4BFAE575"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Кәсіпорын қызметін қайта құру процесінің негізгі функциясы кәсіпорын қызметінің үлгілерін құру болып табылады. Осы кезеңде зерттеу нәтижелерін өңдеу және кәсіпорынның келесі екі түрінің қызмет модельдерін құру жүзеге асырылады:</w:t>
      </w:r>
    </w:p>
    <w:p w14:paraId="7341A194"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кәсіпорындағы іс жағдайының (ұйымның құрылымы, бөлімшелердің өзара іс-қимылы, қабылданған технологиялар, автоматтандырылған және автоматтандырылмаған бизнес-процестер және т. б.) "суреттер" болып табылатын және осы кәсіпорынның жүйелік талдау тұрғысынан не істеп жатқанын және қалай жұмыс істейтінін түсінуге мүмкіндік беретін, сондай-ақ автоматты верификация негізінде қателердің қатарын және тар жерлерді анықтауға және кәсіпорынның жағдайын жақсарту бойынша бірқатар ұсыныстарды тұжырымдауға мүмкіндік беретін "бар" модельдері;</w:t>
      </w:r>
    </w:p>
    <w:p w14:paraId="37E09012"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кәсіпорын басшылығы мен қызметкерлерінің, сарапшылар мен жүйелік талдаушылардың перспективалық ұсыныстарын интеграциялайтын және кәсіпорын жұмысының жаңа ұтымды технологияларының көрінісін қалыптастыруға мүмкіндік беретін "қалай болуы керек" модельдері.</w:t>
      </w:r>
    </w:p>
    <w:p w14:paraId="3D03CC32"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 xml:space="preserve">Модельдердің әрқайсысы қызметтің толық құрылымдық функционалдық моделін, әдетте, "мән-байланыс" нотациясын пайдалана отырып, ақпараттық модельді, сондай-ақ қажет болған </w:t>
      </w:r>
      <w:r w:rsidRPr="000F5768">
        <w:rPr>
          <w:rFonts w:ascii="Times New Roman" w:eastAsia="Times New Roman" w:hAnsi="Times New Roman" w:cs="Times New Roman"/>
          <w:sz w:val="20"/>
          <w:szCs w:val="20"/>
          <w:lang w:eastAsia="ru-RU" w:bidi="ru-RU"/>
        </w:rPr>
        <w:lastRenderedPageBreak/>
        <w:t>жағдайда, жағдайлардың өту диаграммаларын пайдалана отырып оқиғалық (мінез-құлықты сипаттайтын) модельді қамтиды.</w:t>
      </w:r>
    </w:p>
    <w:p w14:paraId="55BD62D8"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"Қалай" үлгісінен "қалай болуы керек" үлгіге өту келесі екі жолмен жүзеге асырылады.</w:t>
      </w:r>
    </w:p>
    <w:p w14:paraId="5D85D9A6"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1. Олардың тиімділігін бағалау негізінде технологияларды жетілдіру. Бұл ретте бағалау критерийлері бизнес-процестерді орындаудың құндық және уақытша шығындары, бизнес-процестің жекелеген міндеттерін орындаудың қайталануы және қарама-қайшылықтары, қызметкерлердің жүктелу дәрежесі ("жеңіл" реинжиниринг) болып табылады.</w:t>
      </w:r>
    </w:p>
    <w:p w14:paraId="72FBA5B2"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2. Технологияларды түбегейлі өзгерту және бизнес - процестерді қайта ойластыру ("қатаң" реинжиниринг).</w:t>
      </w:r>
    </w:p>
    <w:p w14:paraId="3B108930"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Кәсіпорын қызметін қайта ұйымдастыру, бизнес-үдерістерге реинжиниринг жүргізу процесінде ақпараттық технологияларға неғұрлым жоғары басымдық беруге және қысқа мерзімді пайда жағдайында әдістемелік негіздерден, реинжиниринг технологияларынан бас тартуға болмайды. Реинжинирингтің негізгі қағидаларын орындау нәтижесінде қойылған мақсаттарға қол жеткізуге болады. Жоғарыда айтылғандардың негізінде келесі қорытынды жасауға болады — реинжинирингтің даму векторы ақпараттық процестерді енгізу базасы болуы тиіс.</w:t>
      </w:r>
    </w:p>
    <w:p w14:paraId="046BC318"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Іске асырылуын бақылауды енгізу. Мұндай бақылаусыз жоба менеджеріне жобаның қалған бөлігінің жұмысын бақылау қиын болады.</w:t>
      </w:r>
    </w:p>
    <w:p w14:paraId="35281C3A"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Жалпы түрде бұл процесс бес негізгі кезең арқылы өзгерістердің өтуін регламенттеуі тиіс:</w:t>
      </w:r>
    </w:p>
    <w:p w14:paraId="5ECFB2DD"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1. Сипаттамасы. Бастапқы кезеңде ұсынылған өзгерістерді түсіндіру және сипаттау қажет. Ұсыныс құжатталады және талқыланады.</w:t>
      </w:r>
    </w:p>
    <w:p w14:paraId="610DA14C"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2. Бағалау. Екінші кезең ұсынылған өзгерістің әсерін толық масштабты талдауды көздейді. Бұл үшін осы өзгерістің салдарын бағалау үшін қажетті барлық ақпаратты жинау және келісу жүргізіледі. Зерттеу нәтижелері құжатталады және талқыланады.</w:t>
      </w:r>
    </w:p>
    <w:p w14:paraId="62F1D8B8"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3. Мақұлдау. Зерттеу нәтижелері қарастырылады және шешім қабылданады: Өзгертуді мақұлдау, бас тарту, кейінге қалдыру. Егер өзгерістерді іске асыруды кейінге қалдыру туралы шешім қабылданса, онда қосымша зерттеулер мен есептер жүргізу қажет. Егер оң шешім қабылданса, онда орындаушылар бекітіледі және өзгерістер жүргізуге қаражат бөлінеді. Қабылданған шешімдер құжатталады.</w:t>
      </w:r>
    </w:p>
    <w:p w14:paraId="7313EB33"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4. Іске асыру. Өзгеріс жоба жоспарына енгізіледі және іске асырылады.</w:t>
      </w:r>
    </w:p>
    <w:p w14:paraId="5E32F3FE" w14:textId="77777777" w:rsidR="000F5768" w:rsidRP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5. Орындалуын растау.</w:t>
      </w:r>
    </w:p>
    <w:p w14:paraId="292B4A9F" w14:textId="63C749D6" w:rsidR="000F5768" w:rsidRDefault="000F5768" w:rsidP="000F5768">
      <w:pPr>
        <w:widowControl w:val="0"/>
        <w:autoSpaceDE w:val="0"/>
        <w:autoSpaceDN w:val="0"/>
        <w:spacing w:after="0" w:line="240" w:lineRule="auto"/>
        <w:ind w:left="399" w:right="388" w:firstLine="566"/>
        <w:jc w:val="both"/>
        <w:rPr>
          <w:rFonts w:ascii="Times New Roman" w:eastAsia="Times New Roman" w:hAnsi="Times New Roman" w:cs="Times New Roman"/>
          <w:sz w:val="20"/>
          <w:szCs w:val="20"/>
          <w:lang w:eastAsia="ru-RU" w:bidi="ru-RU"/>
        </w:rPr>
      </w:pPr>
      <w:r w:rsidRPr="000F5768">
        <w:rPr>
          <w:rFonts w:ascii="Times New Roman" w:eastAsia="Times New Roman" w:hAnsi="Times New Roman" w:cs="Times New Roman"/>
          <w:sz w:val="20"/>
          <w:szCs w:val="20"/>
          <w:lang w:eastAsia="ru-RU" w:bidi="ru-RU"/>
        </w:rPr>
        <w:t>Осы өзгеріс шеңберінде жұмыстардың дұрыс және толық орындалуын бақылау. Оң нәтиже болған жағдайда өзгеріс бақылаудан алынады.</w:t>
      </w:r>
      <w:bookmarkStart w:id="0" w:name="_GoBack"/>
      <w:bookmarkEnd w:id="0"/>
    </w:p>
    <w:sectPr w:rsidR="000F57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E537C9"/>
    <w:multiLevelType w:val="hybridMultilevel"/>
    <w:tmpl w:val="D1740B3C"/>
    <w:lvl w:ilvl="0" w:tplc="3F4A7FA4">
      <w:start w:val="1"/>
      <w:numFmt w:val="decimal"/>
      <w:lvlText w:val="%1."/>
      <w:lvlJc w:val="left"/>
      <w:pPr>
        <w:ind w:left="399" w:hanging="326"/>
      </w:pPr>
      <w:rPr>
        <w:rFonts w:ascii="Times New Roman" w:eastAsia="Times New Roman" w:hAnsi="Times New Roman" w:cs="Times New Roman" w:hint="default"/>
        <w:w w:val="99"/>
        <w:sz w:val="28"/>
        <w:szCs w:val="28"/>
        <w:lang w:val="ru-RU" w:eastAsia="ru-RU" w:bidi="ru-RU"/>
      </w:rPr>
    </w:lvl>
    <w:lvl w:ilvl="1" w:tplc="4DE600FE">
      <w:numFmt w:val="bullet"/>
      <w:lvlText w:val="•"/>
      <w:lvlJc w:val="left"/>
      <w:pPr>
        <w:ind w:left="1374" w:hanging="326"/>
      </w:pPr>
      <w:rPr>
        <w:rFonts w:hint="default"/>
        <w:lang w:val="ru-RU" w:eastAsia="ru-RU" w:bidi="ru-RU"/>
      </w:rPr>
    </w:lvl>
    <w:lvl w:ilvl="2" w:tplc="8CF2A9BE">
      <w:numFmt w:val="bullet"/>
      <w:lvlText w:val="•"/>
      <w:lvlJc w:val="left"/>
      <w:pPr>
        <w:ind w:left="2348" w:hanging="326"/>
      </w:pPr>
      <w:rPr>
        <w:rFonts w:hint="default"/>
        <w:lang w:val="ru-RU" w:eastAsia="ru-RU" w:bidi="ru-RU"/>
      </w:rPr>
    </w:lvl>
    <w:lvl w:ilvl="3" w:tplc="6F50B54E">
      <w:numFmt w:val="bullet"/>
      <w:lvlText w:val="•"/>
      <w:lvlJc w:val="left"/>
      <w:pPr>
        <w:ind w:left="3323" w:hanging="326"/>
      </w:pPr>
      <w:rPr>
        <w:rFonts w:hint="default"/>
        <w:lang w:val="ru-RU" w:eastAsia="ru-RU" w:bidi="ru-RU"/>
      </w:rPr>
    </w:lvl>
    <w:lvl w:ilvl="4" w:tplc="DFD2162C">
      <w:numFmt w:val="bullet"/>
      <w:lvlText w:val="•"/>
      <w:lvlJc w:val="left"/>
      <w:pPr>
        <w:ind w:left="4297" w:hanging="326"/>
      </w:pPr>
      <w:rPr>
        <w:rFonts w:hint="default"/>
        <w:lang w:val="ru-RU" w:eastAsia="ru-RU" w:bidi="ru-RU"/>
      </w:rPr>
    </w:lvl>
    <w:lvl w:ilvl="5" w:tplc="F926DA4A">
      <w:numFmt w:val="bullet"/>
      <w:lvlText w:val="•"/>
      <w:lvlJc w:val="left"/>
      <w:pPr>
        <w:ind w:left="5272" w:hanging="326"/>
      </w:pPr>
      <w:rPr>
        <w:rFonts w:hint="default"/>
        <w:lang w:val="ru-RU" w:eastAsia="ru-RU" w:bidi="ru-RU"/>
      </w:rPr>
    </w:lvl>
    <w:lvl w:ilvl="6" w:tplc="0556FB02">
      <w:numFmt w:val="bullet"/>
      <w:lvlText w:val="•"/>
      <w:lvlJc w:val="left"/>
      <w:pPr>
        <w:ind w:left="6246" w:hanging="326"/>
      </w:pPr>
      <w:rPr>
        <w:rFonts w:hint="default"/>
        <w:lang w:val="ru-RU" w:eastAsia="ru-RU" w:bidi="ru-RU"/>
      </w:rPr>
    </w:lvl>
    <w:lvl w:ilvl="7" w:tplc="1550ED3C">
      <w:numFmt w:val="bullet"/>
      <w:lvlText w:val="•"/>
      <w:lvlJc w:val="left"/>
      <w:pPr>
        <w:ind w:left="7220" w:hanging="326"/>
      </w:pPr>
      <w:rPr>
        <w:rFonts w:hint="default"/>
        <w:lang w:val="ru-RU" w:eastAsia="ru-RU" w:bidi="ru-RU"/>
      </w:rPr>
    </w:lvl>
    <w:lvl w:ilvl="8" w:tplc="BB56614A">
      <w:numFmt w:val="bullet"/>
      <w:lvlText w:val="•"/>
      <w:lvlJc w:val="left"/>
      <w:pPr>
        <w:ind w:left="8195" w:hanging="326"/>
      </w:pPr>
      <w:rPr>
        <w:rFonts w:hint="default"/>
        <w:lang w:val="ru-RU" w:eastAsia="ru-RU" w:bidi="ru-RU"/>
      </w:rPr>
    </w:lvl>
  </w:abstractNum>
  <w:abstractNum w:abstractNumId="1" w15:restartNumberingAfterBreak="0">
    <w:nsid w:val="18610409"/>
    <w:multiLevelType w:val="multilevel"/>
    <w:tmpl w:val="319A636C"/>
    <w:lvl w:ilvl="0">
      <w:start w:val="12"/>
      <w:numFmt w:val="decimal"/>
      <w:lvlText w:val="%1."/>
      <w:lvlJc w:val="left"/>
      <w:pPr>
        <w:ind w:left="2753" w:hanging="375"/>
      </w:pPr>
      <w:rPr>
        <w:rFonts w:hint="default"/>
      </w:rPr>
    </w:lvl>
    <w:lvl w:ilvl="1">
      <w:start w:val="2"/>
      <w:numFmt w:val="decimal"/>
      <w:isLgl/>
      <w:lvlText w:val="%1.%2"/>
      <w:lvlJc w:val="left"/>
      <w:pPr>
        <w:ind w:left="3278" w:hanging="525"/>
      </w:pPr>
      <w:rPr>
        <w:rFonts w:hint="default"/>
      </w:rPr>
    </w:lvl>
    <w:lvl w:ilvl="2">
      <w:start w:val="1"/>
      <w:numFmt w:val="decimal"/>
      <w:isLgl/>
      <w:lvlText w:val="%1.%2.%3"/>
      <w:lvlJc w:val="left"/>
      <w:pPr>
        <w:ind w:left="3848" w:hanging="720"/>
      </w:pPr>
      <w:rPr>
        <w:rFonts w:hint="default"/>
      </w:rPr>
    </w:lvl>
    <w:lvl w:ilvl="3">
      <w:start w:val="1"/>
      <w:numFmt w:val="decimal"/>
      <w:isLgl/>
      <w:lvlText w:val="%1.%2.%3.%4"/>
      <w:lvlJc w:val="left"/>
      <w:pPr>
        <w:ind w:left="4583" w:hanging="1080"/>
      </w:pPr>
      <w:rPr>
        <w:rFonts w:hint="default"/>
      </w:rPr>
    </w:lvl>
    <w:lvl w:ilvl="4">
      <w:start w:val="1"/>
      <w:numFmt w:val="decimal"/>
      <w:isLgl/>
      <w:lvlText w:val="%1.%2.%3.%4.%5"/>
      <w:lvlJc w:val="left"/>
      <w:pPr>
        <w:ind w:left="4958" w:hanging="1080"/>
      </w:pPr>
      <w:rPr>
        <w:rFonts w:hint="default"/>
      </w:rPr>
    </w:lvl>
    <w:lvl w:ilvl="5">
      <w:start w:val="1"/>
      <w:numFmt w:val="decimal"/>
      <w:isLgl/>
      <w:lvlText w:val="%1.%2.%3.%4.%5.%6"/>
      <w:lvlJc w:val="left"/>
      <w:pPr>
        <w:ind w:left="5693" w:hanging="1440"/>
      </w:pPr>
      <w:rPr>
        <w:rFonts w:hint="default"/>
      </w:rPr>
    </w:lvl>
    <w:lvl w:ilvl="6">
      <w:start w:val="1"/>
      <w:numFmt w:val="decimal"/>
      <w:isLgl/>
      <w:lvlText w:val="%1.%2.%3.%4.%5.%6.%7"/>
      <w:lvlJc w:val="left"/>
      <w:pPr>
        <w:ind w:left="6068" w:hanging="1440"/>
      </w:pPr>
      <w:rPr>
        <w:rFonts w:hint="default"/>
      </w:rPr>
    </w:lvl>
    <w:lvl w:ilvl="7">
      <w:start w:val="1"/>
      <w:numFmt w:val="decimal"/>
      <w:isLgl/>
      <w:lvlText w:val="%1.%2.%3.%4.%5.%6.%7.%8"/>
      <w:lvlJc w:val="left"/>
      <w:pPr>
        <w:ind w:left="6803" w:hanging="1800"/>
      </w:pPr>
      <w:rPr>
        <w:rFonts w:hint="default"/>
      </w:rPr>
    </w:lvl>
    <w:lvl w:ilvl="8">
      <w:start w:val="1"/>
      <w:numFmt w:val="decimal"/>
      <w:isLgl/>
      <w:lvlText w:val="%1.%2.%3.%4.%5.%6.%7.%8.%9"/>
      <w:lvlJc w:val="left"/>
      <w:pPr>
        <w:ind w:left="7538" w:hanging="2160"/>
      </w:pPr>
      <w:rPr>
        <w:rFonts w:hint="default"/>
      </w:rPr>
    </w:lvl>
  </w:abstractNum>
  <w:abstractNum w:abstractNumId="2" w15:restartNumberingAfterBreak="0">
    <w:nsid w:val="23301FC7"/>
    <w:multiLevelType w:val="hybridMultilevel"/>
    <w:tmpl w:val="9D66F876"/>
    <w:lvl w:ilvl="0" w:tplc="66983F6A">
      <w:start w:val="1"/>
      <w:numFmt w:val="decimal"/>
      <w:lvlText w:val="%1."/>
      <w:lvlJc w:val="left"/>
      <w:pPr>
        <w:ind w:left="399" w:hanging="394"/>
      </w:pPr>
      <w:rPr>
        <w:rFonts w:ascii="Times New Roman" w:eastAsia="Times New Roman" w:hAnsi="Times New Roman" w:cs="Times New Roman" w:hint="default"/>
        <w:w w:val="99"/>
        <w:sz w:val="28"/>
        <w:szCs w:val="28"/>
        <w:lang w:val="ru-RU" w:eastAsia="ru-RU" w:bidi="ru-RU"/>
      </w:rPr>
    </w:lvl>
    <w:lvl w:ilvl="1" w:tplc="33F6CCF8">
      <w:numFmt w:val="bullet"/>
      <w:lvlText w:val="•"/>
      <w:lvlJc w:val="left"/>
      <w:pPr>
        <w:ind w:left="1374" w:hanging="394"/>
      </w:pPr>
      <w:rPr>
        <w:rFonts w:hint="default"/>
        <w:lang w:val="ru-RU" w:eastAsia="ru-RU" w:bidi="ru-RU"/>
      </w:rPr>
    </w:lvl>
    <w:lvl w:ilvl="2" w:tplc="02420EA2">
      <w:numFmt w:val="bullet"/>
      <w:lvlText w:val="•"/>
      <w:lvlJc w:val="left"/>
      <w:pPr>
        <w:ind w:left="2348" w:hanging="394"/>
      </w:pPr>
      <w:rPr>
        <w:rFonts w:hint="default"/>
        <w:lang w:val="ru-RU" w:eastAsia="ru-RU" w:bidi="ru-RU"/>
      </w:rPr>
    </w:lvl>
    <w:lvl w:ilvl="3" w:tplc="D37604EE">
      <w:numFmt w:val="bullet"/>
      <w:lvlText w:val="•"/>
      <w:lvlJc w:val="left"/>
      <w:pPr>
        <w:ind w:left="3323" w:hanging="394"/>
      </w:pPr>
      <w:rPr>
        <w:rFonts w:hint="default"/>
        <w:lang w:val="ru-RU" w:eastAsia="ru-RU" w:bidi="ru-RU"/>
      </w:rPr>
    </w:lvl>
    <w:lvl w:ilvl="4" w:tplc="8F80CBC0">
      <w:numFmt w:val="bullet"/>
      <w:lvlText w:val="•"/>
      <w:lvlJc w:val="left"/>
      <w:pPr>
        <w:ind w:left="4297" w:hanging="394"/>
      </w:pPr>
      <w:rPr>
        <w:rFonts w:hint="default"/>
        <w:lang w:val="ru-RU" w:eastAsia="ru-RU" w:bidi="ru-RU"/>
      </w:rPr>
    </w:lvl>
    <w:lvl w:ilvl="5" w:tplc="3E84D9DA">
      <w:numFmt w:val="bullet"/>
      <w:lvlText w:val="•"/>
      <w:lvlJc w:val="left"/>
      <w:pPr>
        <w:ind w:left="5272" w:hanging="394"/>
      </w:pPr>
      <w:rPr>
        <w:rFonts w:hint="default"/>
        <w:lang w:val="ru-RU" w:eastAsia="ru-RU" w:bidi="ru-RU"/>
      </w:rPr>
    </w:lvl>
    <w:lvl w:ilvl="6" w:tplc="281E7A20">
      <w:numFmt w:val="bullet"/>
      <w:lvlText w:val="•"/>
      <w:lvlJc w:val="left"/>
      <w:pPr>
        <w:ind w:left="6246" w:hanging="394"/>
      </w:pPr>
      <w:rPr>
        <w:rFonts w:hint="default"/>
        <w:lang w:val="ru-RU" w:eastAsia="ru-RU" w:bidi="ru-RU"/>
      </w:rPr>
    </w:lvl>
    <w:lvl w:ilvl="7" w:tplc="9D8C87D0">
      <w:numFmt w:val="bullet"/>
      <w:lvlText w:val="•"/>
      <w:lvlJc w:val="left"/>
      <w:pPr>
        <w:ind w:left="7220" w:hanging="394"/>
      </w:pPr>
      <w:rPr>
        <w:rFonts w:hint="default"/>
        <w:lang w:val="ru-RU" w:eastAsia="ru-RU" w:bidi="ru-RU"/>
      </w:rPr>
    </w:lvl>
    <w:lvl w:ilvl="8" w:tplc="AA8E73A4">
      <w:numFmt w:val="bullet"/>
      <w:lvlText w:val="•"/>
      <w:lvlJc w:val="left"/>
      <w:pPr>
        <w:ind w:left="8195" w:hanging="394"/>
      </w:pPr>
      <w:rPr>
        <w:rFonts w:hint="default"/>
        <w:lang w:val="ru-RU" w:eastAsia="ru-RU" w:bidi="ru-RU"/>
      </w:rPr>
    </w:lvl>
  </w:abstractNum>
  <w:abstractNum w:abstractNumId="3" w15:restartNumberingAfterBreak="0">
    <w:nsid w:val="29A305EB"/>
    <w:multiLevelType w:val="hybridMultilevel"/>
    <w:tmpl w:val="6B9834E6"/>
    <w:lvl w:ilvl="0" w:tplc="CE1E1488">
      <w:numFmt w:val="bullet"/>
      <w:lvlText w:val="-"/>
      <w:lvlJc w:val="left"/>
      <w:pPr>
        <w:ind w:left="399" w:hanging="173"/>
      </w:pPr>
      <w:rPr>
        <w:rFonts w:ascii="Times New Roman" w:eastAsia="Times New Roman" w:hAnsi="Times New Roman" w:cs="Times New Roman" w:hint="default"/>
        <w:w w:val="99"/>
        <w:sz w:val="28"/>
        <w:szCs w:val="28"/>
        <w:lang w:val="ru-RU" w:eastAsia="ru-RU" w:bidi="ru-RU"/>
      </w:rPr>
    </w:lvl>
    <w:lvl w:ilvl="1" w:tplc="2B62D2E8">
      <w:numFmt w:val="bullet"/>
      <w:lvlText w:val="•"/>
      <w:lvlJc w:val="left"/>
      <w:pPr>
        <w:ind w:left="1374" w:hanging="173"/>
      </w:pPr>
      <w:rPr>
        <w:rFonts w:hint="default"/>
        <w:lang w:val="ru-RU" w:eastAsia="ru-RU" w:bidi="ru-RU"/>
      </w:rPr>
    </w:lvl>
    <w:lvl w:ilvl="2" w:tplc="9334B4D4">
      <w:numFmt w:val="bullet"/>
      <w:lvlText w:val="•"/>
      <w:lvlJc w:val="left"/>
      <w:pPr>
        <w:ind w:left="2348" w:hanging="173"/>
      </w:pPr>
      <w:rPr>
        <w:rFonts w:hint="default"/>
        <w:lang w:val="ru-RU" w:eastAsia="ru-RU" w:bidi="ru-RU"/>
      </w:rPr>
    </w:lvl>
    <w:lvl w:ilvl="3" w:tplc="9DD6AA0E">
      <w:numFmt w:val="bullet"/>
      <w:lvlText w:val="•"/>
      <w:lvlJc w:val="left"/>
      <w:pPr>
        <w:ind w:left="3323" w:hanging="173"/>
      </w:pPr>
      <w:rPr>
        <w:rFonts w:hint="default"/>
        <w:lang w:val="ru-RU" w:eastAsia="ru-RU" w:bidi="ru-RU"/>
      </w:rPr>
    </w:lvl>
    <w:lvl w:ilvl="4" w:tplc="894A4382">
      <w:numFmt w:val="bullet"/>
      <w:lvlText w:val="•"/>
      <w:lvlJc w:val="left"/>
      <w:pPr>
        <w:ind w:left="4297" w:hanging="173"/>
      </w:pPr>
      <w:rPr>
        <w:rFonts w:hint="default"/>
        <w:lang w:val="ru-RU" w:eastAsia="ru-RU" w:bidi="ru-RU"/>
      </w:rPr>
    </w:lvl>
    <w:lvl w:ilvl="5" w:tplc="439C2CAC">
      <w:numFmt w:val="bullet"/>
      <w:lvlText w:val="•"/>
      <w:lvlJc w:val="left"/>
      <w:pPr>
        <w:ind w:left="5272" w:hanging="173"/>
      </w:pPr>
      <w:rPr>
        <w:rFonts w:hint="default"/>
        <w:lang w:val="ru-RU" w:eastAsia="ru-RU" w:bidi="ru-RU"/>
      </w:rPr>
    </w:lvl>
    <w:lvl w:ilvl="6" w:tplc="4C9ED496">
      <w:numFmt w:val="bullet"/>
      <w:lvlText w:val="•"/>
      <w:lvlJc w:val="left"/>
      <w:pPr>
        <w:ind w:left="6246" w:hanging="173"/>
      </w:pPr>
      <w:rPr>
        <w:rFonts w:hint="default"/>
        <w:lang w:val="ru-RU" w:eastAsia="ru-RU" w:bidi="ru-RU"/>
      </w:rPr>
    </w:lvl>
    <w:lvl w:ilvl="7" w:tplc="1F789C7A">
      <w:numFmt w:val="bullet"/>
      <w:lvlText w:val="•"/>
      <w:lvlJc w:val="left"/>
      <w:pPr>
        <w:ind w:left="7220" w:hanging="173"/>
      </w:pPr>
      <w:rPr>
        <w:rFonts w:hint="default"/>
        <w:lang w:val="ru-RU" w:eastAsia="ru-RU" w:bidi="ru-RU"/>
      </w:rPr>
    </w:lvl>
    <w:lvl w:ilvl="8" w:tplc="9222C2D2">
      <w:numFmt w:val="bullet"/>
      <w:lvlText w:val="•"/>
      <w:lvlJc w:val="left"/>
      <w:pPr>
        <w:ind w:left="8195" w:hanging="173"/>
      </w:pPr>
      <w:rPr>
        <w:rFonts w:hint="default"/>
        <w:lang w:val="ru-RU" w:eastAsia="ru-RU" w:bidi="ru-RU"/>
      </w:rPr>
    </w:lvl>
  </w:abstractNum>
  <w:abstractNum w:abstractNumId="4" w15:restartNumberingAfterBreak="0">
    <w:nsid w:val="29EE5B65"/>
    <w:multiLevelType w:val="hybridMultilevel"/>
    <w:tmpl w:val="D508106C"/>
    <w:lvl w:ilvl="0" w:tplc="77E2ACCA">
      <w:numFmt w:val="bullet"/>
      <w:lvlText w:val="-"/>
      <w:lvlJc w:val="left"/>
      <w:pPr>
        <w:ind w:left="399" w:hanging="140"/>
      </w:pPr>
      <w:rPr>
        <w:rFonts w:ascii="Times New Roman" w:eastAsia="Times New Roman" w:hAnsi="Times New Roman" w:cs="Times New Roman" w:hint="default"/>
        <w:w w:val="99"/>
        <w:sz w:val="28"/>
        <w:szCs w:val="28"/>
        <w:lang w:val="ru-RU" w:eastAsia="ru-RU" w:bidi="ru-RU"/>
      </w:rPr>
    </w:lvl>
    <w:lvl w:ilvl="1" w:tplc="72909F86">
      <w:numFmt w:val="bullet"/>
      <w:lvlText w:val="•"/>
      <w:lvlJc w:val="left"/>
      <w:pPr>
        <w:ind w:left="1374" w:hanging="140"/>
      </w:pPr>
      <w:rPr>
        <w:rFonts w:hint="default"/>
        <w:lang w:val="ru-RU" w:eastAsia="ru-RU" w:bidi="ru-RU"/>
      </w:rPr>
    </w:lvl>
    <w:lvl w:ilvl="2" w:tplc="472CE01E">
      <w:numFmt w:val="bullet"/>
      <w:lvlText w:val="•"/>
      <w:lvlJc w:val="left"/>
      <w:pPr>
        <w:ind w:left="2348" w:hanging="140"/>
      </w:pPr>
      <w:rPr>
        <w:rFonts w:hint="default"/>
        <w:lang w:val="ru-RU" w:eastAsia="ru-RU" w:bidi="ru-RU"/>
      </w:rPr>
    </w:lvl>
    <w:lvl w:ilvl="3" w:tplc="8668CB5E">
      <w:numFmt w:val="bullet"/>
      <w:lvlText w:val="•"/>
      <w:lvlJc w:val="left"/>
      <w:pPr>
        <w:ind w:left="3323" w:hanging="140"/>
      </w:pPr>
      <w:rPr>
        <w:rFonts w:hint="default"/>
        <w:lang w:val="ru-RU" w:eastAsia="ru-RU" w:bidi="ru-RU"/>
      </w:rPr>
    </w:lvl>
    <w:lvl w:ilvl="4" w:tplc="8682BC10">
      <w:numFmt w:val="bullet"/>
      <w:lvlText w:val="•"/>
      <w:lvlJc w:val="left"/>
      <w:pPr>
        <w:ind w:left="4297" w:hanging="140"/>
      </w:pPr>
      <w:rPr>
        <w:rFonts w:hint="default"/>
        <w:lang w:val="ru-RU" w:eastAsia="ru-RU" w:bidi="ru-RU"/>
      </w:rPr>
    </w:lvl>
    <w:lvl w:ilvl="5" w:tplc="6478ABC8">
      <w:numFmt w:val="bullet"/>
      <w:lvlText w:val="•"/>
      <w:lvlJc w:val="left"/>
      <w:pPr>
        <w:ind w:left="5272" w:hanging="140"/>
      </w:pPr>
      <w:rPr>
        <w:rFonts w:hint="default"/>
        <w:lang w:val="ru-RU" w:eastAsia="ru-RU" w:bidi="ru-RU"/>
      </w:rPr>
    </w:lvl>
    <w:lvl w:ilvl="6" w:tplc="A132A500">
      <w:numFmt w:val="bullet"/>
      <w:lvlText w:val="•"/>
      <w:lvlJc w:val="left"/>
      <w:pPr>
        <w:ind w:left="6246" w:hanging="140"/>
      </w:pPr>
      <w:rPr>
        <w:rFonts w:hint="default"/>
        <w:lang w:val="ru-RU" w:eastAsia="ru-RU" w:bidi="ru-RU"/>
      </w:rPr>
    </w:lvl>
    <w:lvl w:ilvl="7" w:tplc="7426444A">
      <w:numFmt w:val="bullet"/>
      <w:lvlText w:val="•"/>
      <w:lvlJc w:val="left"/>
      <w:pPr>
        <w:ind w:left="7220" w:hanging="140"/>
      </w:pPr>
      <w:rPr>
        <w:rFonts w:hint="default"/>
        <w:lang w:val="ru-RU" w:eastAsia="ru-RU" w:bidi="ru-RU"/>
      </w:rPr>
    </w:lvl>
    <w:lvl w:ilvl="8" w:tplc="4A24C6BE">
      <w:numFmt w:val="bullet"/>
      <w:lvlText w:val="•"/>
      <w:lvlJc w:val="left"/>
      <w:pPr>
        <w:ind w:left="8195" w:hanging="140"/>
      </w:pPr>
      <w:rPr>
        <w:rFonts w:hint="default"/>
        <w:lang w:val="ru-RU" w:eastAsia="ru-RU" w:bidi="ru-RU"/>
      </w:rPr>
    </w:lvl>
  </w:abstractNum>
  <w:abstractNum w:abstractNumId="5" w15:restartNumberingAfterBreak="0">
    <w:nsid w:val="345F5208"/>
    <w:multiLevelType w:val="multilevel"/>
    <w:tmpl w:val="8C261EA4"/>
    <w:lvl w:ilvl="0">
      <w:start w:val="1"/>
      <w:numFmt w:val="decimal"/>
      <w:lvlText w:val="%1."/>
      <w:lvlJc w:val="left"/>
      <w:pPr>
        <w:ind w:left="1249" w:hanging="283"/>
      </w:pPr>
      <w:rPr>
        <w:rFonts w:ascii="Times New Roman" w:eastAsia="Times New Roman" w:hAnsi="Times New Roman" w:cs="Times New Roman" w:hint="default"/>
        <w:w w:val="99"/>
        <w:sz w:val="28"/>
        <w:szCs w:val="28"/>
        <w:lang w:val="ru-RU" w:eastAsia="ru-RU" w:bidi="ru-RU"/>
      </w:rPr>
    </w:lvl>
    <w:lvl w:ilvl="1">
      <w:start w:val="1"/>
      <w:numFmt w:val="decimal"/>
      <w:lvlText w:val="%1.%2"/>
      <w:lvlJc w:val="left"/>
      <w:pPr>
        <w:ind w:left="1388" w:hanging="423"/>
      </w:pPr>
      <w:rPr>
        <w:rFonts w:ascii="Times New Roman" w:eastAsia="Times New Roman" w:hAnsi="Times New Roman" w:cs="Times New Roman" w:hint="default"/>
        <w:w w:val="99"/>
        <w:sz w:val="28"/>
        <w:szCs w:val="28"/>
        <w:lang w:val="ru-RU" w:eastAsia="ru-RU" w:bidi="ru-RU"/>
      </w:rPr>
    </w:lvl>
    <w:lvl w:ilvl="2">
      <w:numFmt w:val="bullet"/>
      <w:lvlText w:val="•"/>
      <w:lvlJc w:val="left"/>
      <w:pPr>
        <w:ind w:left="2353" w:hanging="423"/>
      </w:pPr>
      <w:rPr>
        <w:rFonts w:hint="default"/>
        <w:lang w:val="ru-RU" w:eastAsia="ru-RU" w:bidi="ru-RU"/>
      </w:rPr>
    </w:lvl>
    <w:lvl w:ilvl="3">
      <w:numFmt w:val="bullet"/>
      <w:lvlText w:val="•"/>
      <w:lvlJc w:val="left"/>
      <w:pPr>
        <w:ind w:left="3327" w:hanging="423"/>
      </w:pPr>
      <w:rPr>
        <w:rFonts w:hint="default"/>
        <w:lang w:val="ru-RU" w:eastAsia="ru-RU" w:bidi="ru-RU"/>
      </w:rPr>
    </w:lvl>
    <w:lvl w:ilvl="4">
      <w:numFmt w:val="bullet"/>
      <w:lvlText w:val="•"/>
      <w:lvlJc w:val="left"/>
      <w:pPr>
        <w:ind w:left="4301" w:hanging="423"/>
      </w:pPr>
      <w:rPr>
        <w:rFonts w:hint="default"/>
        <w:lang w:val="ru-RU" w:eastAsia="ru-RU" w:bidi="ru-RU"/>
      </w:rPr>
    </w:lvl>
    <w:lvl w:ilvl="5">
      <w:numFmt w:val="bullet"/>
      <w:lvlText w:val="•"/>
      <w:lvlJc w:val="left"/>
      <w:pPr>
        <w:ind w:left="5275" w:hanging="423"/>
      </w:pPr>
      <w:rPr>
        <w:rFonts w:hint="default"/>
        <w:lang w:val="ru-RU" w:eastAsia="ru-RU" w:bidi="ru-RU"/>
      </w:rPr>
    </w:lvl>
    <w:lvl w:ilvl="6">
      <w:numFmt w:val="bullet"/>
      <w:lvlText w:val="•"/>
      <w:lvlJc w:val="left"/>
      <w:pPr>
        <w:ind w:left="6248" w:hanging="423"/>
      </w:pPr>
      <w:rPr>
        <w:rFonts w:hint="default"/>
        <w:lang w:val="ru-RU" w:eastAsia="ru-RU" w:bidi="ru-RU"/>
      </w:rPr>
    </w:lvl>
    <w:lvl w:ilvl="7">
      <w:numFmt w:val="bullet"/>
      <w:lvlText w:val="•"/>
      <w:lvlJc w:val="left"/>
      <w:pPr>
        <w:ind w:left="7222" w:hanging="423"/>
      </w:pPr>
      <w:rPr>
        <w:rFonts w:hint="default"/>
        <w:lang w:val="ru-RU" w:eastAsia="ru-RU" w:bidi="ru-RU"/>
      </w:rPr>
    </w:lvl>
    <w:lvl w:ilvl="8">
      <w:numFmt w:val="bullet"/>
      <w:lvlText w:val="•"/>
      <w:lvlJc w:val="left"/>
      <w:pPr>
        <w:ind w:left="8196" w:hanging="423"/>
      </w:pPr>
      <w:rPr>
        <w:rFonts w:hint="default"/>
        <w:lang w:val="ru-RU" w:eastAsia="ru-RU" w:bidi="ru-RU"/>
      </w:rPr>
    </w:lvl>
  </w:abstractNum>
  <w:abstractNum w:abstractNumId="6" w15:restartNumberingAfterBreak="0">
    <w:nsid w:val="3D2A36D0"/>
    <w:multiLevelType w:val="hybridMultilevel"/>
    <w:tmpl w:val="1A9E6242"/>
    <w:lvl w:ilvl="0" w:tplc="D3447FCA">
      <w:start w:val="1"/>
      <w:numFmt w:val="decimal"/>
      <w:lvlText w:val="%1."/>
      <w:lvlJc w:val="left"/>
      <w:pPr>
        <w:ind w:left="399" w:hanging="355"/>
      </w:pPr>
      <w:rPr>
        <w:rFonts w:hint="default"/>
        <w:i/>
        <w:w w:val="99"/>
        <w:lang w:val="ru-RU" w:eastAsia="ru-RU" w:bidi="ru-RU"/>
      </w:rPr>
    </w:lvl>
    <w:lvl w:ilvl="1" w:tplc="F4D06768">
      <w:numFmt w:val="bullet"/>
      <w:lvlText w:val="•"/>
      <w:lvlJc w:val="left"/>
      <w:pPr>
        <w:ind w:left="1374" w:hanging="355"/>
      </w:pPr>
      <w:rPr>
        <w:rFonts w:hint="default"/>
        <w:lang w:val="ru-RU" w:eastAsia="ru-RU" w:bidi="ru-RU"/>
      </w:rPr>
    </w:lvl>
    <w:lvl w:ilvl="2" w:tplc="9050E6D4">
      <w:numFmt w:val="bullet"/>
      <w:lvlText w:val="•"/>
      <w:lvlJc w:val="left"/>
      <w:pPr>
        <w:ind w:left="2348" w:hanging="355"/>
      </w:pPr>
      <w:rPr>
        <w:rFonts w:hint="default"/>
        <w:lang w:val="ru-RU" w:eastAsia="ru-RU" w:bidi="ru-RU"/>
      </w:rPr>
    </w:lvl>
    <w:lvl w:ilvl="3" w:tplc="F4B21082">
      <w:numFmt w:val="bullet"/>
      <w:lvlText w:val="•"/>
      <w:lvlJc w:val="left"/>
      <w:pPr>
        <w:ind w:left="3323" w:hanging="355"/>
      </w:pPr>
      <w:rPr>
        <w:rFonts w:hint="default"/>
        <w:lang w:val="ru-RU" w:eastAsia="ru-RU" w:bidi="ru-RU"/>
      </w:rPr>
    </w:lvl>
    <w:lvl w:ilvl="4" w:tplc="BF64DDD0">
      <w:numFmt w:val="bullet"/>
      <w:lvlText w:val="•"/>
      <w:lvlJc w:val="left"/>
      <w:pPr>
        <w:ind w:left="4297" w:hanging="355"/>
      </w:pPr>
      <w:rPr>
        <w:rFonts w:hint="default"/>
        <w:lang w:val="ru-RU" w:eastAsia="ru-RU" w:bidi="ru-RU"/>
      </w:rPr>
    </w:lvl>
    <w:lvl w:ilvl="5" w:tplc="F1D4FE46">
      <w:numFmt w:val="bullet"/>
      <w:lvlText w:val="•"/>
      <w:lvlJc w:val="left"/>
      <w:pPr>
        <w:ind w:left="5272" w:hanging="355"/>
      </w:pPr>
      <w:rPr>
        <w:rFonts w:hint="default"/>
        <w:lang w:val="ru-RU" w:eastAsia="ru-RU" w:bidi="ru-RU"/>
      </w:rPr>
    </w:lvl>
    <w:lvl w:ilvl="6" w:tplc="888261B8">
      <w:numFmt w:val="bullet"/>
      <w:lvlText w:val="•"/>
      <w:lvlJc w:val="left"/>
      <w:pPr>
        <w:ind w:left="6246" w:hanging="355"/>
      </w:pPr>
      <w:rPr>
        <w:rFonts w:hint="default"/>
        <w:lang w:val="ru-RU" w:eastAsia="ru-RU" w:bidi="ru-RU"/>
      </w:rPr>
    </w:lvl>
    <w:lvl w:ilvl="7" w:tplc="2FB496F0">
      <w:numFmt w:val="bullet"/>
      <w:lvlText w:val="•"/>
      <w:lvlJc w:val="left"/>
      <w:pPr>
        <w:ind w:left="7220" w:hanging="355"/>
      </w:pPr>
      <w:rPr>
        <w:rFonts w:hint="default"/>
        <w:lang w:val="ru-RU" w:eastAsia="ru-RU" w:bidi="ru-RU"/>
      </w:rPr>
    </w:lvl>
    <w:lvl w:ilvl="8" w:tplc="162CD982">
      <w:numFmt w:val="bullet"/>
      <w:lvlText w:val="•"/>
      <w:lvlJc w:val="left"/>
      <w:pPr>
        <w:ind w:left="8195" w:hanging="355"/>
      </w:pPr>
      <w:rPr>
        <w:rFonts w:hint="default"/>
        <w:lang w:val="ru-RU" w:eastAsia="ru-RU" w:bidi="ru-RU"/>
      </w:rPr>
    </w:lvl>
  </w:abstractNum>
  <w:abstractNum w:abstractNumId="7" w15:restartNumberingAfterBreak="0">
    <w:nsid w:val="4C755FD5"/>
    <w:multiLevelType w:val="hybridMultilevel"/>
    <w:tmpl w:val="DC88EA7A"/>
    <w:lvl w:ilvl="0" w:tplc="809A2AA2">
      <w:start w:val="12"/>
      <w:numFmt w:val="decimal"/>
      <w:lvlText w:val="%1."/>
      <w:lvlJc w:val="left"/>
      <w:pPr>
        <w:ind w:left="2753" w:hanging="375"/>
      </w:pPr>
      <w:rPr>
        <w:rFonts w:hint="default"/>
      </w:rPr>
    </w:lvl>
    <w:lvl w:ilvl="1" w:tplc="04190019" w:tentative="1">
      <w:start w:val="1"/>
      <w:numFmt w:val="lowerLetter"/>
      <w:lvlText w:val="%2."/>
      <w:lvlJc w:val="left"/>
      <w:pPr>
        <w:ind w:left="3458" w:hanging="360"/>
      </w:pPr>
    </w:lvl>
    <w:lvl w:ilvl="2" w:tplc="0419001B" w:tentative="1">
      <w:start w:val="1"/>
      <w:numFmt w:val="lowerRoman"/>
      <w:lvlText w:val="%3."/>
      <w:lvlJc w:val="right"/>
      <w:pPr>
        <w:ind w:left="4178" w:hanging="180"/>
      </w:pPr>
    </w:lvl>
    <w:lvl w:ilvl="3" w:tplc="0419000F" w:tentative="1">
      <w:start w:val="1"/>
      <w:numFmt w:val="decimal"/>
      <w:lvlText w:val="%4."/>
      <w:lvlJc w:val="left"/>
      <w:pPr>
        <w:ind w:left="4898" w:hanging="360"/>
      </w:pPr>
    </w:lvl>
    <w:lvl w:ilvl="4" w:tplc="04190019" w:tentative="1">
      <w:start w:val="1"/>
      <w:numFmt w:val="lowerLetter"/>
      <w:lvlText w:val="%5."/>
      <w:lvlJc w:val="left"/>
      <w:pPr>
        <w:ind w:left="5618" w:hanging="360"/>
      </w:pPr>
    </w:lvl>
    <w:lvl w:ilvl="5" w:tplc="0419001B" w:tentative="1">
      <w:start w:val="1"/>
      <w:numFmt w:val="lowerRoman"/>
      <w:lvlText w:val="%6."/>
      <w:lvlJc w:val="right"/>
      <w:pPr>
        <w:ind w:left="6338" w:hanging="180"/>
      </w:pPr>
    </w:lvl>
    <w:lvl w:ilvl="6" w:tplc="0419000F" w:tentative="1">
      <w:start w:val="1"/>
      <w:numFmt w:val="decimal"/>
      <w:lvlText w:val="%7."/>
      <w:lvlJc w:val="left"/>
      <w:pPr>
        <w:ind w:left="7058" w:hanging="360"/>
      </w:pPr>
    </w:lvl>
    <w:lvl w:ilvl="7" w:tplc="04190019" w:tentative="1">
      <w:start w:val="1"/>
      <w:numFmt w:val="lowerLetter"/>
      <w:lvlText w:val="%8."/>
      <w:lvlJc w:val="left"/>
      <w:pPr>
        <w:ind w:left="7778" w:hanging="360"/>
      </w:pPr>
    </w:lvl>
    <w:lvl w:ilvl="8" w:tplc="0419001B" w:tentative="1">
      <w:start w:val="1"/>
      <w:numFmt w:val="lowerRoman"/>
      <w:lvlText w:val="%9."/>
      <w:lvlJc w:val="right"/>
      <w:pPr>
        <w:ind w:left="8498" w:hanging="180"/>
      </w:pPr>
    </w:lvl>
  </w:abstractNum>
  <w:abstractNum w:abstractNumId="8" w15:restartNumberingAfterBreak="0">
    <w:nsid w:val="51D93A02"/>
    <w:multiLevelType w:val="multilevel"/>
    <w:tmpl w:val="430239EC"/>
    <w:lvl w:ilvl="0">
      <w:start w:val="12"/>
      <w:numFmt w:val="decimal"/>
      <w:lvlText w:val="%1"/>
      <w:lvlJc w:val="left"/>
      <w:pPr>
        <w:ind w:left="675" w:hanging="675"/>
      </w:pPr>
      <w:rPr>
        <w:rFonts w:hint="default"/>
      </w:rPr>
    </w:lvl>
    <w:lvl w:ilvl="1">
      <w:start w:val="11"/>
      <w:numFmt w:val="decimal"/>
      <w:lvlText w:val="%1.%2"/>
      <w:lvlJc w:val="left"/>
      <w:pPr>
        <w:ind w:left="4243" w:hanging="675"/>
      </w:pPr>
      <w:rPr>
        <w:rFonts w:hint="default"/>
      </w:rPr>
    </w:lvl>
    <w:lvl w:ilvl="2">
      <w:start w:val="1"/>
      <w:numFmt w:val="decimal"/>
      <w:lvlText w:val="%1.%2.%3"/>
      <w:lvlJc w:val="left"/>
      <w:pPr>
        <w:ind w:left="7856" w:hanging="720"/>
      </w:pPr>
      <w:rPr>
        <w:rFonts w:hint="default"/>
      </w:rPr>
    </w:lvl>
    <w:lvl w:ilvl="3">
      <w:start w:val="1"/>
      <w:numFmt w:val="decimal"/>
      <w:lvlText w:val="%1.%2.%3.%4"/>
      <w:lvlJc w:val="left"/>
      <w:pPr>
        <w:ind w:left="11784" w:hanging="1080"/>
      </w:pPr>
      <w:rPr>
        <w:rFonts w:hint="default"/>
      </w:rPr>
    </w:lvl>
    <w:lvl w:ilvl="4">
      <w:start w:val="1"/>
      <w:numFmt w:val="decimal"/>
      <w:lvlText w:val="%1.%2.%3.%4.%5"/>
      <w:lvlJc w:val="left"/>
      <w:pPr>
        <w:ind w:left="15352" w:hanging="1080"/>
      </w:pPr>
      <w:rPr>
        <w:rFonts w:hint="default"/>
      </w:rPr>
    </w:lvl>
    <w:lvl w:ilvl="5">
      <w:start w:val="1"/>
      <w:numFmt w:val="decimal"/>
      <w:lvlText w:val="%1.%2.%3.%4.%5.%6"/>
      <w:lvlJc w:val="left"/>
      <w:pPr>
        <w:ind w:left="19280" w:hanging="1440"/>
      </w:pPr>
      <w:rPr>
        <w:rFonts w:hint="default"/>
      </w:rPr>
    </w:lvl>
    <w:lvl w:ilvl="6">
      <w:start w:val="1"/>
      <w:numFmt w:val="decimal"/>
      <w:lvlText w:val="%1.%2.%3.%4.%5.%6.%7"/>
      <w:lvlJc w:val="left"/>
      <w:pPr>
        <w:ind w:left="22848" w:hanging="1440"/>
      </w:pPr>
      <w:rPr>
        <w:rFonts w:hint="default"/>
      </w:rPr>
    </w:lvl>
    <w:lvl w:ilvl="7">
      <w:start w:val="1"/>
      <w:numFmt w:val="decimal"/>
      <w:lvlText w:val="%1.%2.%3.%4.%5.%6.%7.%8"/>
      <w:lvlJc w:val="left"/>
      <w:pPr>
        <w:ind w:left="26776" w:hanging="1800"/>
      </w:pPr>
      <w:rPr>
        <w:rFonts w:hint="default"/>
      </w:rPr>
    </w:lvl>
    <w:lvl w:ilvl="8">
      <w:start w:val="1"/>
      <w:numFmt w:val="decimal"/>
      <w:lvlText w:val="%1.%2.%3.%4.%5.%6.%7.%8.%9"/>
      <w:lvlJc w:val="left"/>
      <w:pPr>
        <w:ind w:left="30704" w:hanging="2160"/>
      </w:pPr>
      <w:rPr>
        <w:rFonts w:hint="default"/>
      </w:rPr>
    </w:lvl>
  </w:abstractNum>
  <w:abstractNum w:abstractNumId="9" w15:restartNumberingAfterBreak="0">
    <w:nsid w:val="52CD43AF"/>
    <w:multiLevelType w:val="hybridMultilevel"/>
    <w:tmpl w:val="AD18E5D6"/>
    <w:lvl w:ilvl="0" w:tplc="EA789220">
      <w:numFmt w:val="bullet"/>
      <w:lvlText w:val="—"/>
      <w:lvlJc w:val="left"/>
      <w:pPr>
        <w:ind w:left="399" w:hanging="409"/>
      </w:pPr>
      <w:rPr>
        <w:rFonts w:ascii="Times New Roman" w:eastAsia="Times New Roman" w:hAnsi="Times New Roman" w:cs="Times New Roman" w:hint="default"/>
        <w:w w:val="99"/>
        <w:sz w:val="28"/>
        <w:szCs w:val="28"/>
        <w:lang w:val="ru-RU" w:eastAsia="ru-RU" w:bidi="ru-RU"/>
      </w:rPr>
    </w:lvl>
    <w:lvl w:ilvl="1" w:tplc="4DEE1484">
      <w:numFmt w:val="bullet"/>
      <w:lvlText w:val="-"/>
      <w:lvlJc w:val="left"/>
      <w:pPr>
        <w:ind w:left="399" w:hanging="312"/>
      </w:pPr>
      <w:rPr>
        <w:rFonts w:ascii="Times New Roman" w:eastAsia="Times New Roman" w:hAnsi="Times New Roman" w:cs="Times New Roman" w:hint="default"/>
        <w:w w:val="99"/>
        <w:sz w:val="28"/>
        <w:szCs w:val="28"/>
        <w:lang w:val="ru-RU" w:eastAsia="ru-RU" w:bidi="ru-RU"/>
      </w:rPr>
    </w:lvl>
    <w:lvl w:ilvl="2" w:tplc="64C0B728">
      <w:numFmt w:val="bullet"/>
      <w:lvlText w:val="•"/>
      <w:lvlJc w:val="left"/>
      <w:pPr>
        <w:ind w:left="2348" w:hanging="312"/>
      </w:pPr>
      <w:rPr>
        <w:rFonts w:hint="default"/>
        <w:lang w:val="ru-RU" w:eastAsia="ru-RU" w:bidi="ru-RU"/>
      </w:rPr>
    </w:lvl>
    <w:lvl w:ilvl="3" w:tplc="076044CE">
      <w:numFmt w:val="bullet"/>
      <w:lvlText w:val="•"/>
      <w:lvlJc w:val="left"/>
      <w:pPr>
        <w:ind w:left="3323" w:hanging="312"/>
      </w:pPr>
      <w:rPr>
        <w:rFonts w:hint="default"/>
        <w:lang w:val="ru-RU" w:eastAsia="ru-RU" w:bidi="ru-RU"/>
      </w:rPr>
    </w:lvl>
    <w:lvl w:ilvl="4" w:tplc="136C807E">
      <w:numFmt w:val="bullet"/>
      <w:lvlText w:val="•"/>
      <w:lvlJc w:val="left"/>
      <w:pPr>
        <w:ind w:left="4297" w:hanging="312"/>
      </w:pPr>
      <w:rPr>
        <w:rFonts w:hint="default"/>
        <w:lang w:val="ru-RU" w:eastAsia="ru-RU" w:bidi="ru-RU"/>
      </w:rPr>
    </w:lvl>
    <w:lvl w:ilvl="5" w:tplc="FB9C4BFC">
      <w:numFmt w:val="bullet"/>
      <w:lvlText w:val="•"/>
      <w:lvlJc w:val="left"/>
      <w:pPr>
        <w:ind w:left="5272" w:hanging="312"/>
      </w:pPr>
      <w:rPr>
        <w:rFonts w:hint="default"/>
        <w:lang w:val="ru-RU" w:eastAsia="ru-RU" w:bidi="ru-RU"/>
      </w:rPr>
    </w:lvl>
    <w:lvl w:ilvl="6" w:tplc="750E307E">
      <w:numFmt w:val="bullet"/>
      <w:lvlText w:val="•"/>
      <w:lvlJc w:val="left"/>
      <w:pPr>
        <w:ind w:left="6246" w:hanging="312"/>
      </w:pPr>
      <w:rPr>
        <w:rFonts w:hint="default"/>
        <w:lang w:val="ru-RU" w:eastAsia="ru-RU" w:bidi="ru-RU"/>
      </w:rPr>
    </w:lvl>
    <w:lvl w:ilvl="7" w:tplc="D878FC96">
      <w:numFmt w:val="bullet"/>
      <w:lvlText w:val="•"/>
      <w:lvlJc w:val="left"/>
      <w:pPr>
        <w:ind w:left="7220" w:hanging="312"/>
      </w:pPr>
      <w:rPr>
        <w:rFonts w:hint="default"/>
        <w:lang w:val="ru-RU" w:eastAsia="ru-RU" w:bidi="ru-RU"/>
      </w:rPr>
    </w:lvl>
    <w:lvl w:ilvl="8" w:tplc="9350F844">
      <w:numFmt w:val="bullet"/>
      <w:lvlText w:val="•"/>
      <w:lvlJc w:val="left"/>
      <w:pPr>
        <w:ind w:left="8195" w:hanging="312"/>
      </w:pPr>
      <w:rPr>
        <w:rFonts w:hint="default"/>
        <w:lang w:val="ru-RU" w:eastAsia="ru-RU" w:bidi="ru-RU"/>
      </w:rPr>
    </w:lvl>
  </w:abstractNum>
  <w:abstractNum w:abstractNumId="10" w15:restartNumberingAfterBreak="0">
    <w:nsid w:val="64804C9D"/>
    <w:multiLevelType w:val="hybridMultilevel"/>
    <w:tmpl w:val="D5F0F228"/>
    <w:lvl w:ilvl="0" w:tplc="A91AE81C">
      <w:start w:val="1"/>
      <w:numFmt w:val="decimal"/>
      <w:lvlText w:val="%1."/>
      <w:lvlJc w:val="left"/>
      <w:pPr>
        <w:ind w:left="399" w:hanging="307"/>
      </w:pPr>
      <w:rPr>
        <w:rFonts w:ascii="Times New Roman" w:eastAsia="Times New Roman" w:hAnsi="Times New Roman" w:cs="Times New Roman" w:hint="default"/>
        <w:w w:val="99"/>
        <w:sz w:val="28"/>
        <w:szCs w:val="28"/>
        <w:lang w:val="ru-RU" w:eastAsia="ru-RU" w:bidi="ru-RU"/>
      </w:rPr>
    </w:lvl>
    <w:lvl w:ilvl="1" w:tplc="22C41528">
      <w:numFmt w:val="bullet"/>
      <w:lvlText w:val="•"/>
      <w:lvlJc w:val="left"/>
      <w:pPr>
        <w:ind w:left="1374" w:hanging="307"/>
      </w:pPr>
      <w:rPr>
        <w:rFonts w:hint="default"/>
        <w:lang w:val="ru-RU" w:eastAsia="ru-RU" w:bidi="ru-RU"/>
      </w:rPr>
    </w:lvl>
    <w:lvl w:ilvl="2" w:tplc="E30C0870">
      <w:numFmt w:val="bullet"/>
      <w:lvlText w:val="•"/>
      <w:lvlJc w:val="left"/>
      <w:pPr>
        <w:ind w:left="2348" w:hanging="307"/>
      </w:pPr>
      <w:rPr>
        <w:rFonts w:hint="default"/>
        <w:lang w:val="ru-RU" w:eastAsia="ru-RU" w:bidi="ru-RU"/>
      </w:rPr>
    </w:lvl>
    <w:lvl w:ilvl="3" w:tplc="0C321682">
      <w:numFmt w:val="bullet"/>
      <w:lvlText w:val="•"/>
      <w:lvlJc w:val="left"/>
      <w:pPr>
        <w:ind w:left="3323" w:hanging="307"/>
      </w:pPr>
      <w:rPr>
        <w:rFonts w:hint="default"/>
        <w:lang w:val="ru-RU" w:eastAsia="ru-RU" w:bidi="ru-RU"/>
      </w:rPr>
    </w:lvl>
    <w:lvl w:ilvl="4" w:tplc="E1B69BBA">
      <w:numFmt w:val="bullet"/>
      <w:lvlText w:val="•"/>
      <w:lvlJc w:val="left"/>
      <w:pPr>
        <w:ind w:left="4297" w:hanging="307"/>
      </w:pPr>
      <w:rPr>
        <w:rFonts w:hint="default"/>
        <w:lang w:val="ru-RU" w:eastAsia="ru-RU" w:bidi="ru-RU"/>
      </w:rPr>
    </w:lvl>
    <w:lvl w:ilvl="5" w:tplc="D422D17E">
      <w:numFmt w:val="bullet"/>
      <w:lvlText w:val="•"/>
      <w:lvlJc w:val="left"/>
      <w:pPr>
        <w:ind w:left="5272" w:hanging="307"/>
      </w:pPr>
      <w:rPr>
        <w:rFonts w:hint="default"/>
        <w:lang w:val="ru-RU" w:eastAsia="ru-RU" w:bidi="ru-RU"/>
      </w:rPr>
    </w:lvl>
    <w:lvl w:ilvl="6" w:tplc="7666988C">
      <w:numFmt w:val="bullet"/>
      <w:lvlText w:val="•"/>
      <w:lvlJc w:val="left"/>
      <w:pPr>
        <w:ind w:left="6246" w:hanging="307"/>
      </w:pPr>
      <w:rPr>
        <w:rFonts w:hint="default"/>
        <w:lang w:val="ru-RU" w:eastAsia="ru-RU" w:bidi="ru-RU"/>
      </w:rPr>
    </w:lvl>
    <w:lvl w:ilvl="7" w:tplc="BC7C9150">
      <w:numFmt w:val="bullet"/>
      <w:lvlText w:val="•"/>
      <w:lvlJc w:val="left"/>
      <w:pPr>
        <w:ind w:left="7220" w:hanging="307"/>
      </w:pPr>
      <w:rPr>
        <w:rFonts w:hint="default"/>
        <w:lang w:val="ru-RU" w:eastAsia="ru-RU" w:bidi="ru-RU"/>
      </w:rPr>
    </w:lvl>
    <w:lvl w:ilvl="8" w:tplc="3FF62BB6">
      <w:numFmt w:val="bullet"/>
      <w:lvlText w:val="•"/>
      <w:lvlJc w:val="left"/>
      <w:pPr>
        <w:ind w:left="8195" w:hanging="307"/>
      </w:pPr>
      <w:rPr>
        <w:rFonts w:hint="default"/>
        <w:lang w:val="ru-RU" w:eastAsia="ru-RU" w:bidi="ru-RU"/>
      </w:rPr>
    </w:lvl>
  </w:abstractNum>
  <w:abstractNum w:abstractNumId="11" w15:restartNumberingAfterBreak="0">
    <w:nsid w:val="6796433A"/>
    <w:multiLevelType w:val="multilevel"/>
    <w:tmpl w:val="71E0FDEA"/>
    <w:lvl w:ilvl="0">
      <w:start w:val="12"/>
      <w:numFmt w:val="decimal"/>
      <w:lvlText w:val="%1"/>
      <w:lvlJc w:val="left"/>
      <w:pPr>
        <w:ind w:left="525" w:hanging="525"/>
      </w:pPr>
      <w:rPr>
        <w:rFonts w:hint="default"/>
      </w:rPr>
    </w:lvl>
    <w:lvl w:ilvl="1">
      <w:start w:val="8"/>
      <w:numFmt w:val="decimal"/>
      <w:lvlText w:val="%1.%2"/>
      <w:lvlJc w:val="left"/>
      <w:pPr>
        <w:ind w:left="2903" w:hanging="525"/>
      </w:pPr>
      <w:rPr>
        <w:rFonts w:hint="default"/>
      </w:rPr>
    </w:lvl>
    <w:lvl w:ilvl="2">
      <w:start w:val="1"/>
      <w:numFmt w:val="decimal"/>
      <w:lvlText w:val="%1.%2.%3"/>
      <w:lvlJc w:val="left"/>
      <w:pPr>
        <w:ind w:left="5476" w:hanging="720"/>
      </w:pPr>
      <w:rPr>
        <w:rFonts w:hint="default"/>
      </w:rPr>
    </w:lvl>
    <w:lvl w:ilvl="3">
      <w:start w:val="1"/>
      <w:numFmt w:val="decimal"/>
      <w:lvlText w:val="%1.%2.%3.%4"/>
      <w:lvlJc w:val="left"/>
      <w:pPr>
        <w:ind w:left="8214" w:hanging="1080"/>
      </w:pPr>
      <w:rPr>
        <w:rFonts w:hint="default"/>
      </w:rPr>
    </w:lvl>
    <w:lvl w:ilvl="4">
      <w:start w:val="1"/>
      <w:numFmt w:val="decimal"/>
      <w:lvlText w:val="%1.%2.%3.%4.%5"/>
      <w:lvlJc w:val="left"/>
      <w:pPr>
        <w:ind w:left="10592" w:hanging="1080"/>
      </w:pPr>
      <w:rPr>
        <w:rFonts w:hint="default"/>
      </w:rPr>
    </w:lvl>
    <w:lvl w:ilvl="5">
      <w:start w:val="1"/>
      <w:numFmt w:val="decimal"/>
      <w:lvlText w:val="%1.%2.%3.%4.%5.%6"/>
      <w:lvlJc w:val="left"/>
      <w:pPr>
        <w:ind w:left="13330" w:hanging="1440"/>
      </w:pPr>
      <w:rPr>
        <w:rFonts w:hint="default"/>
      </w:rPr>
    </w:lvl>
    <w:lvl w:ilvl="6">
      <w:start w:val="1"/>
      <w:numFmt w:val="decimal"/>
      <w:lvlText w:val="%1.%2.%3.%4.%5.%6.%7"/>
      <w:lvlJc w:val="left"/>
      <w:pPr>
        <w:ind w:left="15708" w:hanging="1440"/>
      </w:pPr>
      <w:rPr>
        <w:rFonts w:hint="default"/>
      </w:rPr>
    </w:lvl>
    <w:lvl w:ilvl="7">
      <w:start w:val="1"/>
      <w:numFmt w:val="decimal"/>
      <w:lvlText w:val="%1.%2.%3.%4.%5.%6.%7.%8"/>
      <w:lvlJc w:val="left"/>
      <w:pPr>
        <w:ind w:left="18446" w:hanging="1800"/>
      </w:pPr>
      <w:rPr>
        <w:rFonts w:hint="default"/>
      </w:rPr>
    </w:lvl>
    <w:lvl w:ilvl="8">
      <w:start w:val="1"/>
      <w:numFmt w:val="decimal"/>
      <w:lvlText w:val="%1.%2.%3.%4.%5.%6.%7.%8.%9"/>
      <w:lvlJc w:val="left"/>
      <w:pPr>
        <w:ind w:left="21184" w:hanging="2160"/>
      </w:pPr>
      <w:rPr>
        <w:rFonts w:hint="default"/>
      </w:rPr>
    </w:lvl>
  </w:abstractNum>
  <w:abstractNum w:abstractNumId="12" w15:restartNumberingAfterBreak="0">
    <w:nsid w:val="6F903260"/>
    <w:multiLevelType w:val="multilevel"/>
    <w:tmpl w:val="B5E806D8"/>
    <w:lvl w:ilvl="0">
      <w:start w:val="12"/>
      <w:numFmt w:val="decimal"/>
      <w:lvlText w:val="%1"/>
      <w:lvlJc w:val="left"/>
      <w:pPr>
        <w:ind w:left="525" w:hanging="525"/>
      </w:pPr>
      <w:rPr>
        <w:rFonts w:hint="default"/>
      </w:rPr>
    </w:lvl>
    <w:lvl w:ilvl="1">
      <w:start w:val="5"/>
      <w:numFmt w:val="decimal"/>
      <w:lvlText w:val="%1.%2"/>
      <w:lvlJc w:val="left"/>
      <w:pPr>
        <w:ind w:left="2903" w:hanging="525"/>
      </w:pPr>
      <w:rPr>
        <w:rFonts w:hint="default"/>
      </w:rPr>
    </w:lvl>
    <w:lvl w:ilvl="2">
      <w:start w:val="1"/>
      <w:numFmt w:val="decimal"/>
      <w:lvlText w:val="%1.%2.%3"/>
      <w:lvlJc w:val="left"/>
      <w:pPr>
        <w:ind w:left="5476" w:hanging="720"/>
      </w:pPr>
      <w:rPr>
        <w:rFonts w:hint="default"/>
      </w:rPr>
    </w:lvl>
    <w:lvl w:ilvl="3">
      <w:start w:val="1"/>
      <w:numFmt w:val="decimal"/>
      <w:lvlText w:val="%1.%2.%3.%4"/>
      <w:lvlJc w:val="left"/>
      <w:pPr>
        <w:ind w:left="8214" w:hanging="1080"/>
      </w:pPr>
      <w:rPr>
        <w:rFonts w:hint="default"/>
      </w:rPr>
    </w:lvl>
    <w:lvl w:ilvl="4">
      <w:start w:val="1"/>
      <w:numFmt w:val="decimal"/>
      <w:lvlText w:val="%1.%2.%3.%4.%5"/>
      <w:lvlJc w:val="left"/>
      <w:pPr>
        <w:ind w:left="10592" w:hanging="1080"/>
      </w:pPr>
      <w:rPr>
        <w:rFonts w:hint="default"/>
      </w:rPr>
    </w:lvl>
    <w:lvl w:ilvl="5">
      <w:start w:val="1"/>
      <w:numFmt w:val="decimal"/>
      <w:lvlText w:val="%1.%2.%3.%4.%5.%6"/>
      <w:lvlJc w:val="left"/>
      <w:pPr>
        <w:ind w:left="13330" w:hanging="1440"/>
      </w:pPr>
      <w:rPr>
        <w:rFonts w:hint="default"/>
      </w:rPr>
    </w:lvl>
    <w:lvl w:ilvl="6">
      <w:start w:val="1"/>
      <w:numFmt w:val="decimal"/>
      <w:lvlText w:val="%1.%2.%3.%4.%5.%6.%7"/>
      <w:lvlJc w:val="left"/>
      <w:pPr>
        <w:ind w:left="15708" w:hanging="1440"/>
      </w:pPr>
      <w:rPr>
        <w:rFonts w:hint="default"/>
      </w:rPr>
    </w:lvl>
    <w:lvl w:ilvl="7">
      <w:start w:val="1"/>
      <w:numFmt w:val="decimal"/>
      <w:lvlText w:val="%1.%2.%3.%4.%5.%6.%7.%8"/>
      <w:lvlJc w:val="left"/>
      <w:pPr>
        <w:ind w:left="18446" w:hanging="1800"/>
      </w:pPr>
      <w:rPr>
        <w:rFonts w:hint="default"/>
      </w:rPr>
    </w:lvl>
    <w:lvl w:ilvl="8">
      <w:start w:val="1"/>
      <w:numFmt w:val="decimal"/>
      <w:lvlText w:val="%1.%2.%3.%4.%5.%6.%7.%8.%9"/>
      <w:lvlJc w:val="left"/>
      <w:pPr>
        <w:ind w:left="21184" w:hanging="2160"/>
      </w:pPr>
      <w:rPr>
        <w:rFonts w:hint="default"/>
      </w:rPr>
    </w:lvl>
  </w:abstractNum>
  <w:abstractNum w:abstractNumId="13" w15:restartNumberingAfterBreak="0">
    <w:nsid w:val="6FA850DB"/>
    <w:multiLevelType w:val="multilevel"/>
    <w:tmpl w:val="104CA924"/>
    <w:lvl w:ilvl="0">
      <w:start w:val="5"/>
      <w:numFmt w:val="decimal"/>
      <w:lvlText w:val="%1"/>
      <w:lvlJc w:val="left"/>
      <w:pPr>
        <w:ind w:left="2873" w:hanging="495"/>
      </w:pPr>
      <w:rPr>
        <w:rFonts w:hint="default"/>
        <w:lang w:val="ru-RU" w:eastAsia="ru-RU" w:bidi="ru-RU"/>
      </w:rPr>
    </w:lvl>
    <w:lvl w:ilvl="1">
      <w:start w:val="1"/>
      <w:numFmt w:val="decimal"/>
      <w:lvlText w:val="%1.%2."/>
      <w:lvlJc w:val="left"/>
      <w:pPr>
        <w:ind w:left="2873" w:hanging="495"/>
        <w:jc w:val="right"/>
      </w:pPr>
      <w:rPr>
        <w:rFonts w:ascii="Times New Roman" w:eastAsia="Times New Roman" w:hAnsi="Times New Roman" w:cs="Times New Roman" w:hint="default"/>
        <w:b/>
        <w:bCs/>
        <w:w w:val="99"/>
        <w:sz w:val="28"/>
        <w:szCs w:val="28"/>
        <w:lang w:val="ru-RU" w:eastAsia="ru-RU" w:bidi="ru-RU"/>
      </w:rPr>
    </w:lvl>
    <w:lvl w:ilvl="2">
      <w:numFmt w:val="bullet"/>
      <w:lvlText w:val="•"/>
      <w:lvlJc w:val="left"/>
      <w:pPr>
        <w:ind w:left="4332" w:hanging="495"/>
      </w:pPr>
      <w:rPr>
        <w:rFonts w:hint="default"/>
        <w:lang w:val="ru-RU" w:eastAsia="ru-RU" w:bidi="ru-RU"/>
      </w:rPr>
    </w:lvl>
    <w:lvl w:ilvl="3">
      <w:numFmt w:val="bullet"/>
      <w:lvlText w:val="•"/>
      <w:lvlJc w:val="left"/>
      <w:pPr>
        <w:ind w:left="5059" w:hanging="495"/>
      </w:pPr>
      <w:rPr>
        <w:rFonts w:hint="default"/>
        <w:lang w:val="ru-RU" w:eastAsia="ru-RU" w:bidi="ru-RU"/>
      </w:rPr>
    </w:lvl>
    <w:lvl w:ilvl="4">
      <w:numFmt w:val="bullet"/>
      <w:lvlText w:val="•"/>
      <w:lvlJc w:val="left"/>
      <w:pPr>
        <w:ind w:left="5785" w:hanging="495"/>
      </w:pPr>
      <w:rPr>
        <w:rFonts w:hint="default"/>
        <w:lang w:val="ru-RU" w:eastAsia="ru-RU" w:bidi="ru-RU"/>
      </w:rPr>
    </w:lvl>
    <w:lvl w:ilvl="5">
      <w:numFmt w:val="bullet"/>
      <w:lvlText w:val="•"/>
      <w:lvlJc w:val="left"/>
      <w:pPr>
        <w:ind w:left="6512" w:hanging="495"/>
      </w:pPr>
      <w:rPr>
        <w:rFonts w:hint="default"/>
        <w:lang w:val="ru-RU" w:eastAsia="ru-RU" w:bidi="ru-RU"/>
      </w:rPr>
    </w:lvl>
    <w:lvl w:ilvl="6">
      <w:numFmt w:val="bullet"/>
      <w:lvlText w:val="•"/>
      <w:lvlJc w:val="left"/>
      <w:pPr>
        <w:ind w:left="7238" w:hanging="495"/>
      </w:pPr>
      <w:rPr>
        <w:rFonts w:hint="default"/>
        <w:lang w:val="ru-RU" w:eastAsia="ru-RU" w:bidi="ru-RU"/>
      </w:rPr>
    </w:lvl>
    <w:lvl w:ilvl="7">
      <w:numFmt w:val="bullet"/>
      <w:lvlText w:val="•"/>
      <w:lvlJc w:val="left"/>
      <w:pPr>
        <w:ind w:left="7964" w:hanging="495"/>
      </w:pPr>
      <w:rPr>
        <w:rFonts w:hint="default"/>
        <w:lang w:val="ru-RU" w:eastAsia="ru-RU" w:bidi="ru-RU"/>
      </w:rPr>
    </w:lvl>
    <w:lvl w:ilvl="8">
      <w:numFmt w:val="bullet"/>
      <w:lvlText w:val="•"/>
      <w:lvlJc w:val="left"/>
      <w:pPr>
        <w:ind w:left="8691" w:hanging="495"/>
      </w:pPr>
      <w:rPr>
        <w:rFonts w:hint="default"/>
        <w:lang w:val="ru-RU" w:eastAsia="ru-RU" w:bidi="ru-RU"/>
      </w:rPr>
    </w:lvl>
  </w:abstractNum>
  <w:abstractNum w:abstractNumId="14" w15:restartNumberingAfterBreak="0">
    <w:nsid w:val="70110D44"/>
    <w:multiLevelType w:val="hybridMultilevel"/>
    <w:tmpl w:val="4734F6A4"/>
    <w:lvl w:ilvl="0" w:tplc="AB80E866">
      <w:numFmt w:val="bullet"/>
      <w:lvlText w:val="-"/>
      <w:lvlJc w:val="left"/>
      <w:pPr>
        <w:ind w:left="399" w:hanging="164"/>
      </w:pPr>
      <w:rPr>
        <w:rFonts w:ascii="Times New Roman" w:eastAsia="Times New Roman" w:hAnsi="Times New Roman" w:cs="Times New Roman" w:hint="default"/>
        <w:i/>
        <w:w w:val="99"/>
        <w:sz w:val="28"/>
        <w:szCs w:val="28"/>
        <w:lang w:val="ru-RU" w:eastAsia="ru-RU" w:bidi="ru-RU"/>
      </w:rPr>
    </w:lvl>
    <w:lvl w:ilvl="1" w:tplc="43F2F872">
      <w:numFmt w:val="bullet"/>
      <w:lvlText w:val="•"/>
      <w:lvlJc w:val="left"/>
      <w:pPr>
        <w:ind w:left="1374" w:hanging="164"/>
      </w:pPr>
      <w:rPr>
        <w:rFonts w:hint="default"/>
        <w:lang w:val="ru-RU" w:eastAsia="ru-RU" w:bidi="ru-RU"/>
      </w:rPr>
    </w:lvl>
    <w:lvl w:ilvl="2" w:tplc="D8C0B724">
      <w:numFmt w:val="bullet"/>
      <w:lvlText w:val="•"/>
      <w:lvlJc w:val="left"/>
      <w:pPr>
        <w:ind w:left="2348" w:hanging="164"/>
      </w:pPr>
      <w:rPr>
        <w:rFonts w:hint="default"/>
        <w:lang w:val="ru-RU" w:eastAsia="ru-RU" w:bidi="ru-RU"/>
      </w:rPr>
    </w:lvl>
    <w:lvl w:ilvl="3" w:tplc="84923BA2">
      <w:numFmt w:val="bullet"/>
      <w:lvlText w:val="•"/>
      <w:lvlJc w:val="left"/>
      <w:pPr>
        <w:ind w:left="3323" w:hanging="164"/>
      </w:pPr>
      <w:rPr>
        <w:rFonts w:hint="default"/>
        <w:lang w:val="ru-RU" w:eastAsia="ru-RU" w:bidi="ru-RU"/>
      </w:rPr>
    </w:lvl>
    <w:lvl w:ilvl="4" w:tplc="48A2E9FE">
      <w:numFmt w:val="bullet"/>
      <w:lvlText w:val="•"/>
      <w:lvlJc w:val="left"/>
      <w:pPr>
        <w:ind w:left="4297" w:hanging="164"/>
      </w:pPr>
      <w:rPr>
        <w:rFonts w:hint="default"/>
        <w:lang w:val="ru-RU" w:eastAsia="ru-RU" w:bidi="ru-RU"/>
      </w:rPr>
    </w:lvl>
    <w:lvl w:ilvl="5" w:tplc="513273DC">
      <w:numFmt w:val="bullet"/>
      <w:lvlText w:val="•"/>
      <w:lvlJc w:val="left"/>
      <w:pPr>
        <w:ind w:left="5272" w:hanging="164"/>
      </w:pPr>
      <w:rPr>
        <w:rFonts w:hint="default"/>
        <w:lang w:val="ru-RU" w:eastAsia="ru-RU" w:bidi="ru-RU"/>
      </w:rPr>
    </w:lvl>
    <w:lvl w:ilvl="6" w:tplc="5D366702">
      <w:numFmt w:val="bullet"/>
      <w:lvlText w:val="•"/>
      <w:lvlJc w:val="left"/>
      <w:pPr>
        <w:ind w:left="6246" w:hanging="164"/>
      </w:pPr>
      <w:rPr>
        <w:rFonts w:hint="default"/>
        <w:lang w:val="ru-RU" w:eastAsia="ru-RU" w:bidi="ru-RU"/>
      </w:rPr>
    </w:lvl>
    <w:lvl w:ilvl="7" w:tplc="18A6E8EC">
      <w:numFmt w:val="bullet"/>
      <w:lvlText w:val="•"/>
      <w:lvlJc w:val="left"/>
      <w:pPr>
        <w:ind w:left="7220" w:hanging="164"/>
      </w:pPr>
      <w:rPr>
        <w:rFonts w:hint="default"/>
        <w:lang w:val="ru-RU" w:eastAsia="ru-RU" w:bidi="ru-RU"/>
      </w:rPr>
    </w:lvl>
    <w:lvl w:ilvl="8" w:tplc="38BC06BA">
      <w:numFmt w:val="bullet"/>
      <w:lvlText w:val="•"/>
      <w:lvlJc w:val="left"/>
      <w:pPr>
        <w:ind w:left="8195" w:hanging="164"/>
      </w:pPr>
      <w:rPr>
        <w:rFonts w:hint="default"/>
        <w:lang w:val="ru-RU" w:eastAsia="ru-RU" w:bidi="ru-RU"/>
      </w:rPr>
    </w:lvl>
  </w:abstractNum>
  <w:abstractNum w:abstractNumId="15" w15:restartNumberingAfterBreak="0">
    <w:nsid w:val="76F31CDE"/>
    <w:multiLevelType w:val="hybridMultilevel"/>
    <w:tmpl w:val="63D41728"/>
    <w:lvl w:ilvl="0" w:tplc="ABD00004">
      <w:start w:val="1"/>
      <w:numFmt w:val="decimal"/>
      <w:lvlText w:val="%1."/>
      <w:lvlJc w:val="left"/>
      <w:pPr>
        <w:ind w:left="399" w:hanging="307"/>
      </w:pPr>
      <w:rPr>
        <w:rFonts w:ascii="Times New Roman" w:eastAsia="Times New Roman" w:hAnsi="Times New Roman" w:cs="Times New Roman" w:hint="default"/>
        <w:w w:val="99"/>
        <w:sz w:val="28"/>
        <w:szCs w:val="28"/>
        <w:lang w:val="ru-RU" w:eastAsia="ru-RU" w:bidi="ru-RU"/>
      </w:rPr>
    </w:lvl>
    <w:lvl w:ilvl="1" w:tplc="0F7412F8">
      <w:numFmt w:val="bullet"/>
      <w:lvlText w:val="•"/>
      <w:lvlJc w:val="left"/>
      <w:pPr>
        <w:ind w:left="1374" w:hanging="307"/>
      </w:pPr>
      <w:rPr>
        <w:rFonts w:hint="default"/>
        <w:lang w:val="ru-RU" w:eastAsia="ru-RU" w:bidi="ru-RU"/>
      </w:rPr>
    </w:lvl>
    <w:lvl w:ilvl="2" w:tplc="38B288C0">
      <w:numFmt w:val="bullet"/>
      <w:lvlText w:val="•"/>
      <w:lvlJc w:val="left"/>
      <w:pPr>
        <w:ind w:left="2348" w:hanging="307"/>
      </w:pPr>
      <w:rPr>
        <w:rFonts w:hint="default"/>
        <w:lang w:val="ru-RU" w:eastAsia="ru-RU" w:bidi="ru-RU"/>
      </w:rPr>
    </w:lvl>
    <w:lvl w:ilvl="3" w:tplc="B89479B2">
      <w:numFmt w:val="bullet"/>
      <w:lvlText w:val="•"/>
      <w:lvlJc w:val="left"/>
      <w:pPr>
        <w:ind w:left="3323" w:hanging="307"/>
      </w:pPr>
      <w:rPr>
        <w:rFonts w:hint="default"/>
        <w:lang w:val="ru-RU" w:eastAsia="ru-RU" w:bidi="ru-RU"/>
      </w:rPr>
    </w:lvl>
    <w:lvl w:ilvl="4" w:tplc="06FA0CB4">
      <w:numFmt w:val="bullet"/>
      <w:lvlText w:val="•"/>
      <w:lvlJc w:val="left"/>
      <w:pPr>
        <w:ind w:left="4297" w:hanging="307"/>
      </w:pPr>
      <w:rPr>
        <w:rFonts w:hint="default"/>
        <w:lang w:val="ru-RU" w:eastAsia="ru-RU" w:bidi="ru-RU"/>
      </w:rPr>
    </w:lvl>
    <w:lvl w:ilvl="5" w:tplc="8F94985C">
      <w:numFmt w:val="bullet"/>
      <w:lvlText w:val="•"/>
      <w:lvlJc w:val="left"/>
      <w:pPr>
        <w:ind w:left="5272" w:hanging="307"/>
      </w:pPr>
      <w:rPr>
        <w:rFonts w:hint="default"/>
        <w:lang w:val="ru-RU" w:eastAsia="ru-RU" w:bidi="ru-RU"/>
      </w:rPr>
    </w:lvl>
    <w:lvl w:ilvl="6" w:tplc="7FF0A3EA">
      <w:numFmt w:val="bullet"/>
      <w:lvlText w:val="•"/>
      <w:lvlJc w:val="left"/>
      <w:pPr>
        <w:ind w:left="6246" w:hanging="307"/>
      </w:pPr>
      <w:rPr>
        <w:rFonts w:hint="default"/>
        <w:lang w:val="ru-RU" w:eastAsia="ru-RU" w:bidi="ru-RU"/>
      </w:rPr>
    </w:lvl>
    <w:lvl w:ilvl="7" w:tplc="B630DF7A">
      <w:numFmt w:val="bullet"/>
      <w:lvlText w:val="•"/>
      <w:lvlJc w:val="left"/>
      <w:pPr>
        <w:ind w:left="7220" w:hanging="307"/>
      </w:pPr>
      <w:rPr>
        <w:rFonts w:hint="default"/>
        <w:lang w:val="ru-RU" w:eastAsia="ru-RU" w:bidi="ru-RU"/>
      </w:rPr>
    </w:lvl>
    <w:lvl w:ilvl="8" w:tplc="EC74AE26">
      <w:numFmt w:val="bullet"/>
      <w:lvlText w:val="•"/>
      <w:lvlJc w:val="left"/>
      <w:pPr>
        <w:ind w:left="8195" w:hanging="307"/>
      </w:pPr>
      <w:rPr>
        <w:rFonts w:hint="default"/>
        <w:lang w:val="ru-RU" w:eastAsia="ru-RU" w:bidi="ru-RU"/>
      </w:rPr>
    </w:lvl>
  </w:abstractNum>
  <w:abstractNum w:abstractNumId="16" w15:restartNumberingAfterBreak="0">
    <w:nsid w:val="77832CB2"/>
    <w:multiLevelType w:val="hybridMultilevel"/>
    <w:tmpl w:val="D83C24E0"/>
    <w:lvl w:ilvl="0" w:tplc="0F047F3A">
      <w:numFmt w:val="bullet"/>
      <w:lvlText w:val="-"/>
      <w:lvlJc w:val="left"/>
      <w:pPr>
        <w:ind w:left="399" w:hanging="668"/>
      </w:pPr>
      <w:rPr>
        <w:rFonts w:ascii="Times New Roman" w:eastAsia="Times New Roman" w:hAnsi="Times New Roman" w:cs="Times New Roman" w:hint="default"/>
        <w:w w:val="99"/>
        <w:sz w:val="28"/>
        <w:szCs w:val="28"/>
        <w:lang w:val="ru-RU" w:eastAsia="ru-RU" w:bidi="ru-RU"/>
      </w:rPr>
    </w:lvl>
    <w:lvl w:ilvl="1" w:tplc="7242E916">
      <w:numFmt w:val="bullet"/>
      <w:lvlText w:val="•"/>
      <w:lvlJc w:val="left"/>
      <w:pPr>
        <w:ind w:left="1374" w:hanging="668"/>
      </w:pPr>
      <w:rPr>
        <w:rFonts w:hint="default"/>
        <w:lang w:val="ru-RU" w:eastAsia="ru-RU" w:bidi="ru-RU"/>
      </w:rPr>
    </w:lvl>
    <w:lvl w:ilvl="2" w:tplc="7FB25A3E">
      <w:numFmt w:val="bullet"/>
      <w:lvlText w:val="•"/>
      <w:lvlJc w:val="left"/>
      <w:pPr>
        <w:ind w:left="2348" w:hanging="668"/>
      </w:pPr>
      <w:rPr>
        <w:rFonts w:hint="default"/>
        <w:lang w:val="ru-RU" w:eastAsia="ru-RU" w:bidi="ru-RU"/>
      </w:rPr>
    </w:lvl>
    <w:lvl w:ilvl="3" w:tplc="8EACD428">
      <w:numFmt w:val="bullet"/>
      <w:lvlText w:val="•"/>
      <w:lvlJc w:val="left"/>
      <w:pPr>
        <w:ind w:left="3323" w:hanging="668"/>
      </w:pPr>
      <w:rPr>
        <w:rFonts w:hint="default"/>
        <w:lang w:val="ru-RU" w:eastAsia="ru-RU" w:bidi="ru-RU"/>
      </w:rPr>
    </w:lvl>
    <w:lvl w:ilvl="4" w:tplc="B24C84B4">
      <w:numFmt w:val="bullet"/>
      <w:lvlText w:val="•"/>
      <w:lvlJc w:val="left"/>
      <w:pPr>
        <w:ind w:left="4297" w:hanging="668"/>
      </w:pPr>
      <w:rPr>
        <w:rFonts w:hint="default"/>
        <w:lang w:val="ru-RU" w:eastAsia="ru-RU" w:bidi="ru-RU"/>
      </w:rPr>
    </w:lvl>
    <w:lvl w:ilvl="5" w:tplc="77EE746C">
      <w:numFmt w:val="bullet"/>
      <w:lvlText w:val="•"/>
      <w:lvlJc w:val="left"/>
      <w:pPr>
        <w:ind w:left="5272" w:hanging="668"/>
      </w:pPr>
      <w:rPr>
        <w:rFonts w:hint="default"/>
        <w:lang w:val="ru-RU" w:eastAsia="ru-RU" w:bidi="ru-RU"/>
      </w:rPr>
    </w:lvl>
    <w:lvl w:ilvl="6" w:tplc="BD9CC36C">
      <w:numFmt w:val="bullet"/>
      <w:lvlText w:val="•"/>
      <w:lvlJc w:val="left"/>
      <w:pPr>
        <w:ind w:left="6246" w:hanging="668"/>
      </w:pPr>
      <w:rPr>
        <w:rFonts w:hint="default"/>
        <w:lang w:val="ru-RU" w:eastAsia="ru-RU" w:bidi="ru-RU"/>
      </w:rPr>
    </w:lvl>
    <w:lvl w:ilvl="7" w:tplc="A718C3C8">
      <w:numFmt w:val="bullet"/>
      <w:lvlText w:val="•"/>
      <w:lvlJc w:val="left"/>
      <w:pPr>
        <w:ind w:left="7220" w:hanging="668"/>
      </w:pPr>
      <w:rPr>
        <w:rFonts w:hint="default"/>
        <w:lang w:val="ru-RU" w:eastAsia="ru-RU" w:bidi="ru-RU"/>
      </w:rPr>
    </w:lvl>
    <w:lvl w:ilvl="8" w:tplc="6D2C906A">
      <w:numFmt w:val="bullet"/>
      <w:lvlText w:val="•"/>
      <w:lvlJc w:val="left"/>
      <w:pPr>
        <w:ind w:left="8195" w:hanging="668"/>
      </w:pPr>
      <w:rPr>
        <w:rFonts w:hint="default"/>
        <w:lang w:val="ru-RU" w:eastAsia="ru-RU" w:bidi="ru-RU"/>
      </w:rPr>
    </w:lvl>
  </w:abstractNum>
  <w:num w:numId="1">
    <w:abstractNumId w:val="2"/>
  </w:num>
  <w:num w:numId="2">
    <w:abstractNumId w:val="10"/>
  </w:num>
  <w:num w:numId="3">
    <w:abstractNumId w:val="5"/>
  </w:num>
  <w:num w:numId="4">
    <w:abstractNumId w:val="3"/>
  </w:num>
  <w:num w:numId="5">
    <w:abstractNumId w:val="9"/>
  </w:num>
  <w:num w:numId="6">
    <w:abstractNumId w:val="15"/>
  </w:num>
  <w:num w:numId="7">
    <w:abstractNumId w:val="6"/>
  </w:num>
  <w:num w:numId="8">
    <w:abstractNumId w:val="0"/>
  </w:num>
  <w:num w:numId="9">
    <w:abstractNumId w:val="16"/>
  </w:num>
  <w:num w:numId="10">
    <w:abstractNumId w:val="14"/>
  </w:num>
  <w:num w:numId="11">
    <w:abstractNumId w:val="4"/>
  </w:num>
  <w:num w:numId="12">
    <w:abstractNumId w:val="13"/>
  </w:num>
  <w:num w:numId="13">
    <w:abstractNumId w:val="1"/>
  </w:num>
  <w:num w:numId="14">
    <w:abstractNumId w:val="7"/>
  </w:num>
  <w:num w:numId="15">
    <w:abstractNumId w:val="12"/>
  </w:num>
  <w:num w:numId="16">
    <w:abstractNumId w:val="11"/>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DEF"/>
    <w:rsid w:val="000F5768"/>
    <w:rsid w:val="001A484F"/>
    <w:rsid w:val="005E6DEF"/>
    <w:rsid w:val="00770E3F"/>
    <w:rsid w:val="008A467D"/>
    <w:rsid w:val="00B953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B91ED"/>
  <w15:chartTrackingRefBased/>
  <w15:docId w15:val="{9CF7D96E-8504-4D9E-B622-A1C28C056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53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10781</Words>
  <Characters>61455</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2020-04-01T07:25:00Z</dcterms:created>
  <dcterms:modified xsi:type="dcterms:W3CDTF">2020-04-01T08:38:00Z</dcterms:modified>
</cp:coreProperties>
</file>