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7. Выбор контроллерного оборудования</w:t>
      </w:r>
    </w:p>
    <w:sectPr w:rsid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BF8" w:rsidRDefault="00731BF8">
      <w:r>
        <w:separator/>
      </w:r>
    </w:p>
  </w:endnote>
  <w:endnote w:type="continuationSeparator" w:id="1">
    <w:p w:rsidR="00731BF8" w:rsidRDefault="00731B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1E3A3A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AA4F8A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BF8" w:rsidRDefault="00731BF8">
      <w:r>
        <w:separator/>
      </w:r>
    </w:p>
  </w:footnote>
  <w:footnote w:type="continuationSeparator" w:id="1">
    <w:p w:rsidR="00731BF8" w:rsidRDefault="00731B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1E3A3A"/>
    <w:rsid w:val="003708B5"/>
    <w:rsid w:val="00691CE0"/>
    <w:rsid w:val="00731BF8"/>
    <w:rsid w:val="007553B6"/>
    <w:rsid w:val="009459C1"/>
    <w:rsid w:val="00AA4F8A"/>
    <w:rsid w:val="00AA6AA8"/>
    <w:rsid w:val="00C92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2020-09-06T12:50:00Z</dcterms:modified>
</cp:coreProperties>
</file>