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9B3E38"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15-бөлім. Жобаларды басқарудың қорытынды ережелері.</w:t>
      </w:r>
    </w:p>
    <w:p w14:paraId="4AAEE4ED"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Жобаларды басқару тиімділігі.</w:t>
      </w:r>
    </w:p>
    <w:p w14:paraId="3291383B"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Жобаларды басқару жүйесінің тиімділігін бағалау кезінде әртүрлі аспектілер - критерийлердің кең жиынтығын қарастыру қажет. Шаруашылық қызметтің әр түрлі салаларында пайдалану үшін оңтайландырылған әртүрлі ұйымдардың әдістемелеріне (коммерциялық, сондай-ақ тәуелсіз, ғылыми) негізделетін УП тиімділігін бағалауға әртүрлі тәсілдер бар.</w:t>
      </w:r>
    </w:p>
    <w:p w14:paraId="08270B00"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Оларды қысқа мерзімде тұжырымдауға болады: жобаны белгіленген мерзімде аяқтау; жобаны бюджет шеңберінде аяқтау; нәтиже сапасына қойылатын талаптарды сақтау; жобаны іске асыру барысында өзгерістердің аз көлемі; "ата-аналар" ұйымының ағымдағы жұмысын сақтау, яғни жобамен жұмыс істеу оны "жолтабаннан" шықпады; ұйымның өндірістік мәдениеті мен құндылықтарын сақтау.</w:t>
      </w:r>
    </w:p>
    <w:p w14:paraId="5CDDB120"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Жобаның жетістігіне әсер ететін факторлар: үйлестіру және өзара байланыс; барабар құрылым және басқару; жобаның бірегейлігі, өзектілігі және ашықтығы; табыстың нақты белгіленген және келісілген өлшемдері; бәсекелестік орта және бюджеттік шектеулер; сыртқы мүмкіндіктерді пайдалану.</w:t>
      </w:r>
    </w:p>
    <w:p w14:paraId="3FE10652"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Жобалардың сәтсіздігінің себептері: түсініксіз мақсаттар; жоғары басшылық тарапынан жеткіліксіз қолдау; жобада тиімді өзара іс-қимылдың жеткіліксіздігі; шамадан тыс оптимистік, жобаның тұжырымдамалық күрделілігі; жеткіліксіз қаржыландыру; жұмыстағы басымдықтардың өзгеруі</w:t>
      </w:r>
    </w:p>
    <w:p w14:paraId="36BC4EA2"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"ата-ана" ұйымы; өзін-өзі басқарудың жеткіліксіздігі; тиімсіз команда; тиімді коммуникациялардың жеткіліксіздігі.</w:t>
      </w:r>
    </w:p>
    <w:p w14:paraId="71216455"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Тиімділікті бағалау әртүрлі сапалар бойынша жүйені қарау және бағалау үшін критерийлерді анықтауға, таңдауға негізделеді. Өлшемдер жиынтығы ұйымның қызмет саласына, жобалардың сипаттамасына байланысты болуы мүмкін</w:t>
      </w:r>
    </w:p>
    <w:p w14:paraId="2912F5A9"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және жүйе құрамы. Критерийлерді, көрсеткіштерді және бағалауды шартты түрде екі топқа бөлуге болады: сапалық; сандық.</w:t>
      </w:r>
    </w:p>
    <w:p w14:paraId="576713B5"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Тиімділікті сапалы бағалау әдістемелерінің бірі табысты іске асыру үшін орындалуы қажет табыстың сыни факторларын сараптамалық бағалауға (КФУ) негізделген.</w:t>
      </w:r>
    </w:p>
    <w:p w14:paraId="286BF340"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Жобаның мақсаттарын тұжырымдау кезінде әрдайым жобаның тиімділігіне тікелей әсер ететін табыстың нақты өлшемдері туралы есте сақтаған жөн.</w:t>
      </w:r>
    </w:p>
    <w:p w14:paraId="505FB8B0"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Жоба жетістігінің сыни факторлары жүйесі-сараптамалық бағалауға негізделген жалпы жобаны стратегиялық бағалауға арналған тетік.</w:t>
      </w:r>
    </w:p>
    <w:p w14:paraId="033D1AFF"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Бұл әдісті жобаны орындау кезеңінде бірнеше рет қолдану ұсынылады. Оны циклді - белгілі бір уақыт аралығында, мысалы, ай сайын немесе жоба кезеңін жабу кезінде жүргізеді.</w:t>
      </w:r>
    </w:p>
    <w:p w14:paraId="5A41610E"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Компанияның жобалық қызметінің тиімділігін сандық бағалау белгілі сипаттамалардың өзгеру үрдістерін салыстырмалы талдау әдісімен жүргізілуі мүмкін:</w:t>
      </w:r>
    </w:p>
    <w:p w14:paraId="19354DAD"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 жобаның құны бойынша ауытқулар-жоба бюджетінің артық шығынынан немесе кем шығуынан туындаған ауытқулары;</w:t>
      </w:r>
    </w:p>
    <w:p w14:paraId="2CF1AC6E"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 кестедегі ауытқулар-жұмыстардың артта қалуынан немесе озып кетуінен туындаған жоба кестесіндегі жылжулар;</w:t>
      </w:r>
    </w:p>
    <w:p w14:paraId="4E70D5D8"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 сапаны тексеру және бағалау кезінде табылған кемшіліктерді жою – жобаны орындау барысында анықталған кемшіліктерді жою бойынша жоба командасы жұмысының тиімділігін бағалау;</w:t>
      </w:r>
    </w:p>
    <w:p w14:paraId="59C8B029"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 шешілмеген мәселелер саны-пайда болатын қиындықтарға жоба командасының әрекет ету тиімділігі;</w:t>
      </w:r>
    </w:p>
    <w:p w14:paraId="031AF5EE"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 жоба командасының жасақталуы-жобаның барлық қатысушыларын, сондай-ақ Жобаны басқару командасын анықтау. Компания қызметінің сандық бағалау механизмдерінің, сондай-ақ озық, күнделікті - стратегиялық басқару механизмдерінің қажеттіліктеріне Balanced Scorecard стратегиялық басқару әдіснамасы-теңдестірілген көрсеткіштер жүйесі (ССП) толық сәйкес келеді. САЖ шеңберінде ұйым төрт перспективада қарастырылады және бағаланады:</w:t>
      </w:r>
    </w:p>
    <w:p w14:paraId="3C59678E"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 қаржылық жағдайға байланысты перспективада (жалпы қабылданған қаржылық көрсеткіштер));</w:t>
      </w:r>
    </w:p>
    <w:p w14:paraId="4CE67FFD"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 компанияның нарықтағы ұстанымымен байланысты перспективада (клиенттер саны, нарық үлесі және т. б.));</w:t>
      </w:r>
    </w:p>
    <w:p w14:paraId="41C8EFBE"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 ішкі бизнес процестеріне байланысты перспективада (олар қаншалықты теңшелген және тиімді);</w:t>
      </w:r>
    </w:p>
    <w:p w14:paraId="54A215E7"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 қызметкерлерді дамыту мен оқытуға байланысты перспективада. КБАЖ тиімділігін сапалық және сандық бағалаудың неғұрлым дәл және үздіксіз процесі үшін компанияда арнайы ұйымдастыру бірлігін - тиімді басқару тетіктерін құруға арналған стратегиялық комитет құру ұсынылады.</w:t>
      </w:r>
    </w:p>
    <w:p w14:paraId="692F1C80"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стратегиялық мақсаттарға қол жеткізуге мүмкіндік береді, сондай-ақ персоналдың дәйекті іс-әрекеттері есебінен стратегияларды іске асыруға ықпал ететін болады.</w:t>
      </w:r>
    </w:p>
    <w:p w14:paraId="4F6555AE"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ЖОЖ енгізу тиімділігін сандық бағалау үшін функционалдық-құндық талдау (ABC) әдісін пайдалануға болады.</w:t>
      </w:r>
    </w:p>
    <w:p w14:paraId="7D94E5B9"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Функционалдық-құндық талдау жүргізу алгоритмі қадамдардың белгілі бір тізбегін қамтиды: компанияда орындалатын барлық ықтимал әрекеттердің (жұмыстардың) тізбесін жасау қажет; осы әрекеттердің санын белгілі бір уақыт аралығына есептеу қажет; әрбір әрекеттің белгілі бір базалық құндық шамасын жасау қажет; жанама шығындарды негізгі құнына сәйкес іс-әрекеттерге орналастыру қажет.</w:t>
      </w:r>
    </w:p>
    <w:p w14:paraId="543DF187"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Талдаудың осы түрінің нәтижелері компания қызметіндегі "тар" орындарды анықтауға, қызметкерлердің ҚНК анықтауға (қызметкердің жұмысы "ыңғайлы" болған кезде тиімді болады) және ең бастысы компания қызметінің тиімділігін арттыру үшін әлеуетті мүмкіндіктерді анықтауға мүмкіндік береді.</w:t>
      </w:r>
    </w:p>
    <w:p w14:paraId="6767A3AE"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Талдау процестері жоспарды талдауды да, жобаның орындалуын талдауды да қамтиды. Талдау процестері сондай-ақ мыналарға бөлуге болады: негізгі; көмекші.</w:t>
      </w:r>
    </w:p>
    <w:p w14:paraId="0DFF29AC"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 xml:space="preserve">Негізгілерге жобаның мақсаттарымен және Жобаның орындалу табыстылығын сипаттайтын көрсеткіштермен тікелей байланысты талдау процестері жатады: мерзімдерді талдау-жоба операцияларын </w:t>
      </w:r>
      <w:r w:rsidRPr="00F6294B">
        <w:rPr>
          <w:rFonts w:ascii="Times New Roman" w:eastAsia="Times New Roman" w:hAnsi="Times New Roman" w:cs="Times New Roman"/>
          <w:sz w:val="20"/>
          <w:szCs w:val="20"/>
          <w:lang w:eastAsia="ru-RU" w:bidi="ru-RU"/>
        </w:rPr>
        <w:lastRenderedPageBreak/>
        <w:t>орындаудың нақты және болжамды мерзімдерінің директивалық немесе жоспарланған мерзімдеріне сәйкестігін анықтау; құнды талдау-операциялар мен жоба фазаларының директивалық немесе жоспарланған мерзімдерге сәйкестігін анықтау.; сапаны талдау - қабылданған сапа стандарттарына сәйкестігін тексеру және жоба сапасының орындалуының жағымсыз нәтижелерінің себептерін жою жолдарын анықтау мақсатында нәтижелерді мониторингілеу; мақсаттарды растау-жоба нәтижелерін оның қатысушыларының (инвесторлардың, тұтынушылардың және т.б.) ресми қабылдау процесі.</w:t>
      </w:r>
    </w:p>
    <w:p w14:paraId="10EE6EB3"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Талдаудың қосалқы процестері Жобаның мақсаттары мен жетістіктерінің өлшемдеріне әсер ететін факторларды талдаумен байланысты. Бұл процестерге мыналар кіреді: орындалуын бағалау - жобаның мақсаттарына қол жеткізу үшін ресурстардың қалай пайдаланылатыны туралы деректермен жобаға қатысушыларды жабдықтау мақсатында жұмыс нәтижелерін талдау және жобалау ақпаратын бөлу; ресурстарды талдау - ресурстардың нақты және болжамды жүктелуі мен өнімділігінің жоспарланғанға сәйкестігін айқындау, сондай-ақ материалдардың нақты шығысының жоспарлы мәндерге сәйкестігін талдау.</w:t>
      </w:r>
    </w:p>
    <w:p w14:paraId="261979E2"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Талдау процестерінің санына жобалық ақпаратты өңдеу рәсімдерін оңтайландыру мақсатында өзара іс-қимылды талдау, өзгерістерді уақтылы енгізу және дауларды болдырмау мақсатында келісімшарттардың орындалуын талдау және тұрақты сипаттағы емес (өзара іс-қимылды талдау ретінде) немесе енгізілген процестердің бір бөлігін (келісімшарттарды талдау ретінде) құрайтын бірқатар басқа да процестер енгізілген жоқ.</w:t>
      </w:r>
    </w:p>
    <w:p w14:paraId="3A659710"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Талдау нәтижесінде бұрын белгіленген жоспар бойынша Жобаны орындауды жалғастыру туралы шешім қабылданады не түзету әсерлерін қолдану қажеттігі айқындалады.</w:t>
      </w:r>
    </w:p>
    <w:p w14:paraId="666110FC"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Жұмыс нәтижелері туралы қорытынды есеп. Тапсырыс берушіден жобаның бағасын алған соң жобаның нәтижелері туралы қорытынды есепті жасауға кірісу қажет. Ол жұмыстардың жай-күйі туралы аралық есептер сияқты, бірақ:</w:t>
      </w:r>
    </w:p>
    <w:p w14:paraId="34D57B06"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 Тапсырыс берушінің қабылдау критерийлерінің қаншалықты дәл сақталғаны туралы түсінік беру үшін Жобаның мақсаттары мен міндеттері туралы бөлім қосылады;</w:t>
      </w:r>
    </w:p>
    <w:p w14:paraId="7CDD6919"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 жұмыс кестесіне арналған бөлімде жоспарланған және нақты мерзімдерді көрсете отырып, жұмыстың барлық негізгі кезеңдері санамаланады. Егер аталған кезеңдердің ешқайсысы соңғы өніммен байланысты болмаса, онда ол тізімнің соңына қосылады;</w:t>
      </w:r>
    </w:p>
    <w:p w14:paraId="5515CEB4"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 еңбек шығындары мен қаржылық шығыстарға қатысты бөлімде қорытындылар шығарылады және нақты деректер бекітілген жоспарда көрсетілгендермен салыстырылады;</w:t>
      </w:r>
    </w:p>
    <w:p w14:paraId="40A7BB83"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 жоспар өзгерістерінің бөлімінде бастапқы жоспарға енгізілген барлық өзгерістер атап көрсетіледі. "Түпкілікті жоспар" бөлімі жұмыстың мақсаттарына (өнімді қабылдау өлшемдеріндегі өзгерістерге), тапсырудың соңғы мерзімдеріне, еңбек шығындары мен шығыстарына қатысты түпкілікті жоспардан алынған деректерді қамтуы тиіс.;</w:t>
      </w:r>
    </w:p>
    <w:p w14:paraId="7DD16E8C"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 кестенің ең төменгі жағында жоспарланған және қорытынды нақты шамалар арасындағы барлық сәйкессіздіктерге түсініктеме беру керек. Сәйкессіздік-бұл жұмыстың жоспарлы нәтижесінен кез келген ауытқулар. Сәйкессіздіктер оң да (жұмысты кестеден бұрын орындау), сондай-ақ теріс да болуы мүмкін. Оң және теріс нәтижелерді түсіндіру өте маңызды, себебі барлық табыс пен сәтсіздіктің себептері түсінікті болуы керек.</w:t>
      </w:r>
    </w:p>
    <w:p w14:paraId="668AE885"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Демеуші жобаны тапсырыс берушінің бағасын алу үшін қолданылған әдістердің көмегімен бағалайды. Бастау үшін сұраңыз нысанды толтыруы үшін жобаны бағалау, содан кейін өтіңіз, онымен сұхбат. Жобаны бағалауға кірісер алдында демеушіге жобаның нәтижелері туралы қорытынды есеппен танысуға мүмкіндік беріңіз.</w:t>
      </w:r>
    </w:p>
    <w:p w14:paraId="7A07134D"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Біріккен форманы алу үшін жобаны бағалау үшін үлгіден тұжырымдарға екі бағанды қосу керек.</w:t>
      </w:r>
    </w:p>
    <w:p w14:paraId="7C7C5AC5"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"Оң нәтижелер" және "болашақта жұмысты жақсарту үшін идеялар".</w:t>
      </w:r>
    </w:p>
    <w:p w14:paraId="032EDF72" w14:textId="49B323B0" w:rsid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Негізінен сауалнама жобаны басқару процесіне қатысты болуы тиіс. Жобаның демеушісі мен тапсырыс берушісіне қойылатын сұрақтардың жиынтығы пайдаланылады. Егер сізде нақты жауаптарды талап ететін сұрақтарыңыз болса, онда сізді қызықтыратын адаммен хабарласыңыз және оларды талқылаңыз. Барлық жауаптарды алып, оларды бірыңғай кестеге қойыңыз, содан кейін оны талдау үшін командаға ұсыныңыз.</w:t>
      </w:r>
    </w:p>
    <w:p w14:paraId="47E3C816"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Команда мүшелерінің жобаны бағалауы. Команда мүшелерінен жобаны бағалауды сұраңыз. Олар үшін дайындалған сұрақтар</w:t>
      </w:r>
    </w:p>
    <w:p w14:paraId="087FD687"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жұмыстың келесі аспектілерін: жобаны басқару ерекшеліктері. (Бұл мәселе жоба көшбасшысына топтың өз жұмысын қалай атқарғандығы туралы пікірін анықтауға мүмкіндік береді); жоспарлау нәтижелілігін, өзгерістерді мониторингілеу мен бақылауды қоса алғанда, Жобаны басқару процесі; топтың өзара іс - қимылы-ол тиімді жұмыс істеді ме, команданың нәтижелі жиналысы болды ма; жобаны ұйымдастырушылық қолдау.</w:t>
      </w:r>
    </w:p>
    <w:p w14:paraId="2B55A70D"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Команда мүшелерін сұрастыруға арналған нысанды жобаның үлескерлері үшін үлгі бойынша жасаңыз, олардың жұмыста не түзелгенін жазу мүмкіндігі болуы үшін, ал олардың ойынша, не пысықталған жөн.</w:t>
      </w:r>
    </w:p>
    <w:p w14:paraId="0FF6656F"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Меңгерілген сабақтар. Жобаның барлық қатысушыларынан сұрай отырып, жұмыс барысында қандай сабақтар алынғаны туралы айтып өтіңіз. Бүкіл жоба бойынша жасалған қорытындылар тізімін, жұмыс нәтижелері туралы қорытынды есепті, қатысушыларды бағалау және плюс/дельта нысанын пайдаланыңыз.</w:t>
      </w:r>
    </w:p>
    <w:p w14:paraId="7A9E0047"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 xml:space="preserve">Инвестициялық жобалардың тиімділік көрсеткіштері мен түрлері. Жалпы түсінуде ең аз шығындар кезінде ең жақсы нәтижелерге қол жеткізу дәрежесі тиімділік деп аталады. Әдістемелік ұсынымдармен инвестициялық жобаның тиімділігі инвестициялық жобаның оның қатысушыларының мақсаттары мен мүдделеріне сәйкестігін көрсететін санат ретінде қарастырылады. Қаржылық іске асырылатын жоба оның қатысушылары үшін тиімсіз болуы мүмкін. Кейбір қатысушының меншікті капиталының жобасына қатысу тиімділігі (немесе осы қатысушы үшін жобаның тиімділігі) оның жобаға салынған меншікті капиталының және жобаны іске асыру есебінен алынған және оның иелігінде қалатын капиталдың (өз шығындарын өтеуден </w:t>
      </w:r>
      <w:r w:rsidRPr="00F6294B">
        <w:rPr>
          <w:rFonts w:ascii="Times New Roman" w:eastAsia="Times New Roman" w:hAnsi="Times New Roman" w:cs="Times New Roman"/>
          <w:sz w:val="20"/>
          <w:szCs w:val="20"/>
          <w:lang w:eastAsia="ru-RU" w:bidi="ru-RU"/>
        </w:rPr>
        <w:lastRenderedPageBreak/>
        <w:t>және басқа қатысушылармен: кредиторлармен, мемлекетпен және т.б. төлегеннен кейін) арақатынасы бойынша анықталады.</w:t>
      </w:r>
    </w:p>
    <w:p w14:paraId="1A7DA366"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Инвестор үшін қолайлы инвестициялардың экономикалық тиімділігінің деңгейін анықтау ТЭН-ді әзірлеумен байланысты экономикалық есептердің неғұрлым күрделі саласы болып табылады, өйткені мұнда әр түрлі мүдделер мен әлеуетті инвесторлар мен кредиторлардың барлық көптеген факторларын біріктіру қажет, тұрақсыз экономика жағдайында жобаға қатысты сыртқы ортада қиын болжанатын өзгерістерді ескеру қажет: инфляциялық әсер, салық салу жүйесіндегі ықтимал өзгерістер және т. б. Осының барлығы тиімділікті бағалау өте ұзақ есептік кезең ішіндегі тиісті ақпаратқа негізделуі тиіс болғандықтан, бірнеше рет күрделене түседі.</w:t>
      </w:r>
    </w:p>
    <w:p w14:paraId="60F2406B"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Жалпы жобаның тиімділігін және жобаға қатысу тиімділігін бағалау ұсынылады.</w:t>
      </w:r>
    </w:p>
    <w:p w14:paraId="489E23D5"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Жобаның тиімділігі тұтастай алғанда ықтимал қатысушылар үшін жобаның әлеуетті тартымдылығын анықтау және қаржыландыру көздерін іздеу үшін бағаланады.</w:t>
      </w:r>
    </w:p>
    <w:p w14:paraId="75D18FD9"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Жобаға қатысу тиімділігінің көрсеткіштері жобаның техникалық, технологиялық және ұйымдастырушылық шешімдерімен де, оны қаржыландыру схемасымен де айқындалады.</w:t>
      </w:r>
    </w:p>
    <w:p w14:paraId="03886023"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Тиімділікті бағалауды мынадай өзара байланысты көрсеткіштер жүйесі бойынша жүргізу ұсынылады: таза кіріс (Шш); таза дисконтталған кіріс (Шш) немесе интегралдық тиімділік; кірістілік индексі (немесе пайдалылық индексі); дисконтталған инвестициялардың табыстылық индексі; өтелімділік мерзімі (РШ біржолғы шығындарын қайтару мерзімі); кірістіліктің ішкі нормасы (немесе пайданың, рентабельділіктің ішкі нормасы); ИП қазіргі құны; ЖК болашақ құны.</w:t>
      </w:r>
    </w:p>
    <w:p w14:paraId="21DCCC33"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Жобаның өміршеңдігін бағалау үшін жобаның нұсқаларын олардың табыстылығы, құны, іске асыру мерзімдері тұрғысынан салыстырады.</w:t>
      </w:r>
    </w:p>
    <w:p w14:paraId="2E927DD2"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Салыстыру ретінде жобасыз және жобасыз жағдайлардың нәтижелері алынады.</w:t>
      </w:r>
    </w:p>
    <w:p w14:paraId="44F1AB18"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Жобаның өміршеңдігін жоба нұсқаларының коммерциялық тиімділігін, сондай-ақ нұсқалардың бюджеттік және экономикалық тиімділігін талдау арқылы бағалайды.</w:t>
      </w:r>
    </w:p>
    <w:p w14:paraId="063D8E57"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Коммерциялық тиімділік көрсеткіші жобаны іске асырудың тікелей қатысушылары үшін қаржылық салдарын ескереді.</w:t>
      </w:r>
    </w:p>
    <w:p w14:paraId="028A5230"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Бюджеттік тиімділік көрсеткіші федералды, өңірлік және жергілікті бюджеттер үшін жобаны жүзеге асырудың салдарын көрсетеді.</w:t>
      </w:r>
    </w:p>
    <w:p w14:paraId="0F7F9FDB"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Экономикалық тиімділік көрсеткіші инвестициялық жобаға қатысушылардың тікелей қаржылық мүдделерінің шегінен шығатын және құндық өзгерістерге жол беретін жобаны іске асыруға байланысты шығындар мен табыстарды ескереді.</w:t>
      </w:r>
    </w:p>
    <w:p w14:paraId="2E2452AE"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Коммерциялық (қаржылық) тиімділік - табыстың талап етілетін нормасын қамтамасыз ететін қаржылық шығындар мен нәтижелердің арақатынасы.</w:t>
      </w:r>
    </w:p>
    <w:p w14:paraId="42849795"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Жобаны жүзеге асыру кезінде қызметтің үш түрі бөлінеді: инвестициялық; операциялық; қаржылық.</w:t>
      </w:r>
    </w:p>
    <w:p w14:paraId="73B7F5B5"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Операциялық және инвестициялық қызметтегі ағындар мен ағындар арасындағы айырмашылық нақты ақша ағыны деп аталады.</w:t>
      </w:r>
    </w:p>
    <w:p w14:paraId="735A2500"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 xml:space="preserve">Инвестициялық қызметтен түскен нақты ақша ағыны: жер; ғимараттар мен құрылыстар; машиналар, Жабдықтар мен беру құрылғылары; материалдық емес активтер; жиыны-негізгі капиталға салынған </w:t>
      </w:r>
      <w:proofErr w:type="gramStart"/>
      <w:r w:rsidRPr="00F6294B">
        <w:rPr>
          <w:rFonts w:ascii="Times New Roman" w:eastAsia="Times New Roman" w:hAnsi="Times New Roman" w:cs="Times New Roman"/>
          <w:sz w:val="20"/>
          <w:szCs w:val="20"/>
          <w:lang w:eastAsia="ru-RU" w:bidi="ru-RU"/>
        </w:rPr>
        <w:t>салымдар(</w:t>
      </w:r>
      <w:proofErr w:type="gramEnd"/>
      <w:r w:rsidRPr="00F6294B">
        <w:rPr>
          <w:rFonts w:ascii="Times New Roman" w:eastAsia="Times New Roman" w:hAnsi="Times New Roman" w:cs="Times New Roman"/>
          <w:sz w:val="20"/>
          <w:szCs w:val="20"/>
          <w:lang w:eastAsia="ru-RU" w:bidi="ru-RU"/>
        </w:rPr>
        <w:t>1+2+3+4); айналым капиталының өсімі; барлық Инвестициялар (6+5).</w:t>
      </w:r>
    </w:p>
    <w:p w14:paraId="644A61C4"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Операциялық қызметтен түскен нақты ақша ағыны мыналарды қамтиды: сату көлемі; баға; түсім (1х2); қайта іске асырудан тыс кірістер; ауыспалы шығындар; тұрақты шығындар; ғимараттардың амортизациясы; жабдықтардың амортизациясы; кредиттер бойынша пайыздар (өзіндік құнға енгізіледі); салықтарды шегергенге дейінгі пайда; салықтар мен алымдар; жобаланатын таза кіріс; амортизация (7+8); операциялардан таза ағын (12+13).</w:t>
      </w:r>
    </w:p>
    <w:p w14:paraId="14958448"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Қаржылық қызметтен түсетін нақты ақша ағындары мыналарды қамтиды: меншікті капитал; қысқа мерзімді кредиттер; ұзақ мерзімді кредиттер; кредиттер бойынша берешекті өтеу; дивидендтер төлеу; қаржы қызметінің сальдосы.</w:t>
      </w:r>
    </w:p>
    <w:p w14:paraId="47007D19"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Объектінің таза тарату құны: нарықтық құны; шығындар; амортизацияны есептеу; уақытша қадамдағы (t қадамдағы) баланстық құны (2-4); тарату бойынша шығындар; капитал құнының өсімінен түсетін кіріс (1-4); операциялық кіріс (залалдар) (1-(4+5)); таза тарату құны (1-8).</w:t>
      </w:r>
    </w:p>
    <w:p w14:paraId="78CBF1BC"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Өтімділік мерзімі-ең аз уақыт аралығы (жобаны жүзеге асыру басталғаннан бастап), одан тыс аралық нәтиже болады және одан әрі теріс емес болып қала береді. Басқаша айтқанда, бұл бастапқы салымдар мен инвестициялық жобаға байланысты басқа да шығындар оны жүзеге асырудың жиынтық нәтижелерімен жабылатын кезең.</w:t>
      </w:r>
    </w:p>
    <w:p w14:paraId="4305A857"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Жобаны жүзеге асыруға байланысты нәтижелер мен шығындарды дисконттаумен немесе онсыз есептеуге болады. Тиісінше, өтелімділіктің екі түрлі мерзімі алынады. Дисконттауды пайдалана отырып өзін-өзі өтеу мерзімін анықтау ұсынылады.</w:t>
      </w:r>
    </w:p>
    <w:p w14:paraId="4B17F2F0"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Коммерциялық тиімділік көрсеткіші жобаны іске асырудың тікелей қатысушылары үшін салдарын ескереді.</w:t>
      </w:r>
    </w:p>
    <w:p w14:paraId="70CFB927"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 xml:space="preserve">Бюджеттік тиімділік көрсеткіші Федералдық, өңірлік және жергілікті бюджеттер үшін қаржылық салдарды көрсетеді. Негізгі көрсеткіш жобаны жүзеге асыруға байланысты тиісті бюджет шығындарынан кірістердің асып түсуі болып табылады. Шығыстарға мыналар кіреді: тікелей бюджеттік қаржыландыру үшін бөлінетін қаражат; Орталық, өңірлік және уәкілетті банктердің жобаны іске асырудың жекелеген қатысушылары үшін қарыз қаражаты ретінде бөлінетін, бюджет есебінен өтеуге жататын кредиттері; отын мен энергия тасығыштардың рыноктық бағаларына үстемеақыларға тікелей бюджеттік қаржы бөлу; жобаны жүзеге асыруға байланысты жұмыссыз қалған адамдар үшін жәрдемақы төлеу; мемлекеттік бағалы қағаздар бойынша төлемдер; шетелдік және отандық қатысушылардың инвестициялық тәуекелдерінің мемлекеттік, </w:t>
      </w:r>
      <w:r w:rsidRPr="00F6294B">
        <w:rPr>
          <w:rFonts w:ascii="Times New Roman" w:eastAsia="Times New Roman" w:hAnsi="Times New Roman" w:cs="Times New Roman"/>
          <w:sz w:val="20"/>
          <w:szCs w:val="20"/>
          <w:lang w:eastAsia="ru-RU" w:bidi="ru-RU"/>
        </w:rPr>
        <w:lastRenderedPageBreak/>
        <w:t>аймақтық кепілдіктері; Төтенше жағдайлар жобасын жүзеге асыру кезінде мүмкін болатын салдарды жою үшін бюджеттен бөлінетін қаражат және төтенше жағдайлар кезінде өзге де мүмкін болатын залалды өтеу</w:t>
      </w:r>
    </w:p>
    <w:p w14:paraId="6BFEF072"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жобаны іске асыру.</w:t>
      </w:r>
    </w:p>
    <w:p w14:paraId="2E5B392E"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Кірістерге мыналар жатады: ҚҚС және жобаға қатысушы - ресейлік және шетелдік кәсіпорындар мен фирмалардан бюджетке осы жылдың басқа да салықтық түсімдері, ренталық төлемдері; жобаны іске асырудың олардың қаржылық жағдайына әсеріне негізделген бөгде кәсіпорындардан салық түсімдерінің ұлғаюы және азаюы; жоба бойынша өндірілетін ресурстар (өнімдер) бойынша бюджетке түсетін кедендік баждар мен акциздер; жобаны жүзеге асыру үшін бағалы қағаздар шығару бойынша Эмиссиялық кіріс; акциялар және басқа да бағалы қағаздар бойынша дивидендтер; ; жерді, суды және басқа да табиғи ресурстарды пайдаланғаны үшін төлем, Жер қойнауы мен лицензиялары үшін төлем; жоба бойынша жеңілдікті кредиттерді өтеу; жобаға байланысты айыппұлдар мен санкциялар; түсімдер</w:t>
      </w:r>
    </w:p>
    <w:p w14:paraId="5EC71CFB" w14:textId="232011F4" w:rsid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зейнетақы қорына, Жұмыспен қамту қорына, медициналық қорға және әлеуметтік сақтандыру қорына.</w:t>
      </w:r>
    </w:p>
    <w:p w14:paraId="7FA09F75"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 xml:space="preserve">Экономикалық тиімділік көрсеткіштері жалпы халық шаруашылығының, сондай-ақ жобаға қатысушы салалардың, ұйымдардың, кәсіпорындардың мүдделері тұрғысынан тиімділікті көрсетеді. Мұндай көрсеткіштерді есептеу кезінде жоба нәтижелерінің құрамына (құндық мәнде): ресейлік қатысушы кәсіпорындар тұтынатын өнімдерден басқа, барлық өндірілген өнімді ішкі және сыртқы нарықтарда өткізуден түскен </w:t>
      </w:r>
      <w:proofErr w:type="gramStart"/>
      <w:r w:rsidRPr="00F6294B">
        <w:rPr>
          <w:rFonts w:ascii="Times New Roman" w:eastAsia="Times New Roman" w:hAnsi="Times New Roman" w:cs="Times New Roman"/>
          <w:sz w:val="20"/>
          <w:szCs w:val="20"/>
          <w:lang w:eastAsia="ru-RU" w:bidi="ru-RU"/>
        </w:rPr>
        <w:t>түсім;;</w:t>
      </w:r>
      <w:proofErr w:type="gramEnd"/>
      <w:r w:rsidRPr="00F6294B">
        <w:rPr>
          <w:rFonts w:ascii="Times New Roman" w:eastAsia="Times New Roman" w:hAnsi="Times New Roman" w:cs="Times New Roman"/>
          <w:sz w:val="20"/>
          <w:szCs w:val="20"/>
          <w:lang w:eastAsia="ru-RU" w:bidi="ru-RU"/>
        </w:rPr>
        <w:t xml:space="preserve"> Әлеуметтік және экологиялық нәтижелер; Тікелей қаржылық нәтижелер; шет мемлекеттердің, банктердің, фирмалардың кредиттері мен қарыздары, импорттық баждың түсімдері.</w:t>
      </w:r>
    </w:p>
    <w:p w14:paraId="50124E2E"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Жоба шығындарының құрамына жобада көзделген және оны жүзеге асыру үшін қажетті Ресей тарапының қайта шотсыз ағымдағы біржолғы шығындары енгізіледі, сондықтан есепке мыналар кірмейді: жобаның басқа қатысушыларының өнімін тұтынушы-кәсіпорындардың шығындары; жобаның бір қатысушысы құратын, ал басқалары пайдаланатын негізгі құралдар бойынша амортизация.</w:t>
      </w:r>
    </w:p>
    <w:p w14:paraId="694E0C28"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Шығындарға мыналар енгізілді: салықтардың, айыппұлдардың, санкциялардың барлық түрлері; кредиттер бойынша пайыздар; шетелдік қатысушылардың шығындары.</w:t>
      </w:r>
    </w:p>
    <w:p w14:paraId="72354560"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Кәсіпорын деңгейінде экономикалық тиімділік көрсеткіштерін есептеу кезінде жоба нәтижелерінің құрамына:</w:t>
      </w:r>
    </w:p>
    <w:p w14:paraId="00B374D5"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 өндірістік нәтижелер, өз мұқтаждарына жұмсалған өнімді шегере отырып, өндірілген өнімді сатудан түскен түсім;</w:t>
      </w:r>
    </w:p>
    <w:p w14:paraId="7F95B3B7"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-әлеуметтік нәтижелер (кәсіпорын қызметкерлері мен олардың отбасы мүшелеріне қатысты).</w:t>
      </w:r>
    </w:p>
    <w:p w14:paraId="2D1C775B"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Шығындар құрамына қайта есеп-шотсыз кәсіпорынның біржолғы және ағымдағы шығындары ғана енгізіледі.</w:t>
      </w:r>
    </w:p>
    <w:p w14:paraId="381BB773"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Жобаның тиімділігі тұтастай алғанда жобаны таныстыру және осыған байланысты әлеуетті инвесторлар үшін жобаның тартымдылығын анықтау үшін бағаланады.</w:t>
      </w:r>
    </w:p>
    <w:p w14:paraId="1A598501"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Қоғамдық тиімділік жалпы қоғам үшін жобаны жүзеге асырудың әлеуметтік - экономикалық салдарын сипаттайды, яғни ол жобаның тікелей нәтижелері мен шығындарын ғана емес, сонымен қатар жобаға қатысты экономиканың аралас секторларындағы шығындар мен нәтижелерді, экономикалық, әлеуметтік және өзге де экономикалық емес әсерлерді де ескереді.</w:t>
      </w:r>
    </w:p>
    <w:p w14:paraId="7750431D"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Қоғамдық тиімділікті бір елдің емес, бірнешеуінің мүдделерін қозғайтын әлеуметтік маңызы бар инвестициялық жобалар үшін ғана бағалайды.</w:t>
      </w:r>
    </w:p>
    <w:p w14:paraId="5D2BA1E0"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Мемлекеттік басқару органдарына сараптама жүргізу қажет емес жобалар бойынша қоғамдық тиімділік көрсеткіштерін әзірлеу талап етілмейді.</w:t>
      </w:r>
    </w:p>
    <w:p w14:paraId="6DEDEF68"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Жобаның коммерциялық тиімділігі Жобаны іске асыру үшін қажетті барлық шығындарды өндіреді және оның барлық нәтижелерін пайдаланады деген өте шартты болжамға сүйене отырып, бастамашы үшін оны жүзеге асырудың экономикалық салдарын сипаттайды. Коммерциялық тиімділік кейде жалпы жобаның тиімділігі ретінде түсіндіріледі. Коммерциялық тиімділік экономикалық тұрғыдан техникалық, технологиялық және ұйымдастырушылық жобалық шешімдерді сипаттайды деп саналады.</w:t>
      </w:r>
    </w:p>
    <w:p w14:paraId="5C064B3C"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Ең маңыздысы жобаға қатысу тиімділігін анықтау болып табылады. Оны инвестициялық жобаның іске асырылуын және оған барлық қатысушылардың мүдделілігін тексеру мақсатында анықтайды. Қатысу тиімділігін, ең алдымен, жобалаушы кәсіпорын үшін (немесе әлеуетті акционерлер) бағалайды. Тиімділіктің бұл түрі жоба бойынша меншікті (акционерлік) капитал үшін тиімділікпен де аталады.</w:t>
      </w:r>
    </w:p>
    <w:p w14:paraId="788130B5"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Жобаға қатысу тиімділігі неғұрлым жоғары деңгейдегі құрылымдардың (қаржы-өнеркәсіптік топтардың, холдинг құрылымдарының) жобаға қатысу тиімділігі, инвестициялық жобаның бюджеттік тиімділігі (барлық деңгейдегі бюджеттердің шығыстары мен кірістері тұрғысынан мемлекеттің жобаға қатысу тиімділігі) сияқты түрлерді қамтиды.</w:t>
      </w:r>
    </w:p>
    <w:p w14:paraId="0F368FE2"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Аталған тиімділік түрлерін бағалау үшін анықталатын көрсеткіштер жүйесі және оларды есептеудің әдіснамалық принциптері бірыңғай. Айырмашылықтар тиімділіктің әрбір түріне қатысты жоба бойынша нақты ақша қаражатының ағындарын қалыптастыратын бастапқы параметрлерден тұрады. "Сыртқы" әсерлер әрқашан құндық көріністе ескерілуі мүмкін емес. Жекелеген жағдайларда, бұл әсерлер өте маңызды, бірақ оларды бағалау мүмкін емес, олардың әсерін сапалы бағалау ғана мүмкін емес.</w:t>
      </w:r>
    </w:p>
    <w:p w14:paraId="3B3A9BF5"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Инвестициялық жобаның тиімділігін айқындау кезінде алдағы шығындар мен нәтижелерді бағалау есептік кезең шегінде (есептеу шегі) жүзеге асырылады.</w:t>
      </w:r>
    </w:p>
    <w:p w14:paraId="527DCB16"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Қатысушылар жүзеге асыратын шығындар құрылыс, жұмыс істеу және тарату сатыларында тиісінше жүзеге асырылатын бастапқы, ағымдағы және тарату болып бөлінеді.</w:t>
      </w:r>
    </w:p>
    <w:p w14:paraId="3EE4F6F7"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Нәтижелер мен шығындарды құндық бағалау үшін базистік, әлемдік және есептік бағалар пайдаланылуы мүмкін.</w:t>
      </w:r>
    </w:p>
    <w:p w14:paraId="70E331C0"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Базистік баға деп белгілі бір уақыт сәтінде халық шаруашылығында қалыптасқан бағалар түсініледі t б. кез келген өнімге немесе ресурстарға базистік баға барлық есептік кезең ішінде өзгеріссіз болып есептеледі.</w:t>
      </w:r>
    </w:p>
    <w:p w14:paraId="56F892A7"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lastRenderedPageBreak/>
        <w:t>Жобаның экономикалық тиімділігін базистік бағаларда өлшеу инвестициялық мүмкіндіктерді техникалық-экономикалық зерттеу сатысында жүргізіледі.</w:t>
      </w:r>
    </w:p>
    <w:p w14:paraId="191EECE8"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Инвестициялық жобаның техникалық-экономикалық негіздемесі (ТЭН) сатысында экономикалық</w:t>
      </w:r>
    </w:p>
    <w:p w14:paraId="52734AC2"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болжамдық және есептік бағалардағы тиімділік. Сонымен бірге базистік және әлемдік бағаларда есеп айырысуды жүзеге асыру ұсынылады.</w:t>
      </w:r>
    </w:p>
    <w:p w14:paraId="2C07E372"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 xml:space="preserve">Банктік пайыздық мөлшерлемелер жобаны қаржыландырудың қарыз көздерінің бағасын сипаттайды, номиналды және нақты болады. Номиналды пайыздық мөлшерлемелер жобаның экономикалық тиімділігін ағымдағы бағаларда есептеу кезінде </w:t>
      </w:r>
      <w:proofErr w:type="gramStart"/>
      <w:r w:rsidRPr="00F6294B">
        <w:rPr>
          <w:rFonts w:ascii="Times New Roman" w:eastAsia="Times New Roman" w:hAnsi="Times New Roman" w:cs="Times New Roman"/>
          <w:sz w:val="20"/>
          <w:szCs w:val="20"/>
          <w:lang w:eastAsia="ru-RU" w:bidi="ru-RU"/>
        </w:rPr>
        <w:t>қолданылады,оларда</w:t>
      </w:r>
      <w:proofErr w:type="gramEnd"/>
      <w:r w:rsidRPr="00F6294B">
        <w:rPr>
          <w:rFonts w:ascii="Times New Roman" w:eastAsia="Times New Roman" w:hAnsi="Times New Roman" w:cs="Times New Roman"/>
          <w:sz w:val="20"/>
          <w:szCs w:val="20"/>
          <w:lang w:eastAsia="ru-RU" w:bidi="ru-RU"/>
        </w:rPr>
        <w:t xml:space="preserve"> инфляциялық құрамдауышы бар. Барлық жарияланған банк ставкалары номиналды болып табылады.</w:t>
      </w:r>
    </w:p>
    <w:p w14:paraId="45AD66A1"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Нақты пайыздық мөлшерлеме - инфляциядан тазартылған номиналды мөлшерлеме.</w:t>
      </w:r>
    </w:p>
    <w:p w14:paraId="2846FCA4"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Пайыздық ставкалар мен инфляция қарқындарын есептеу әдістерінің сәйкес еместігін ескеру қажет. Банктік пайыздық ставкалар әдетте қарапайым пайыздардың ережесі бойынша есептеледі, ал инфляция қарқыны - күрделі пайыздардың ережесі бойынша есептеледі. Сондықтан есептеулердің дұрыстығын қамтамасыз ету үшін номиналды пайыздық мөлшерлеме, нақты пайыздық мөлшерлеме және қаржы нарығындағы инфляция қарқыны салыстырмалы түрге келтірілуі тиіс. Бұл үшін 1 айға есептелген банк ставкаларының және инфляцияның мәнін анықтау керек.</w:t>
      </w:r>
    </w:p>
    <w:p w14:paraId="4656E45D"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Қаржы нарығындағы инфляцияның жалпы серпіні жалпы Ресей экономикасы бойынша инфляцияның ресми жарияланатын көрсеткіштеріне сүйене отырып айқындалады.</w:t>
      </w:r>
    </w:p>
    <w:p w14:paraId="0E8393E3"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РФ Орталық банкінің есептік ставкасы пайыздық төлемдер өнімнің өзіндік құнына енгізілуі мүмкін кредиттің нормативтік пайыздық ставкасын анықтау үшін пайдаланылады.</w:t>
      </w:r>
    </w:p>
    <w:p w14:paraId="68CD259B"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Банктік кредиттер үшін пайыздарды есептеу кезеңі нормаланатын ағымдағы пассивтердің құрамында "кредиттер үшін пайыздарды төлеу бойынша есеп айырысулар" бабын есептеу үшін пайдаланылады. Банктік кредиттер үшін пайыздарды есептеу кезеңінің стандартты мәні 30 күнге тең.</w:t>
      </w:r>
    </w:p>
    <w:p w14:paraId="2128A9B7" w14:textId="77777777"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Инвестициялаудан болатын шығындар мен нәтижелерді қалыптастыратын жекелеген элементтер бойынша инфляция қарқыны ағымдағы бағаларда жобаның қаржы-экономикалық талдауын жүргізу процесінде кіріс деректерін түзету үшін қажет. Инфляция кірістер мен шығындарды қалыптастыратын жекелеген элементтерге әртүрлі әсер етеді, сондықтан инфляция серпінін болжау керек: инвестициялық шығындар элементтері (жабдықтар және т.б.); ағымдағы шығындар элементтері (материалдар, жалақы); өнім бағасының серпіні.</w:t>
      </w:r>
    </w:p>
    <w:p w14:paraId="205D6FEB" w14:textId="3003955E" w:rsidR="00F6294B" w:rsidRPr="00F6294B" w:rsidRDefault="00F6294B" w:rsidP="00F6294B">
      <w:pPr>
        <w:widowControl w:val="0"/>
        <w:autoSpaceDE w:val="0"/>
        <w:autoSpaceDN w:val="0"/>
        <w:spacing w:before="2" w:after="0" w:line="240" w:lineRule="auto"/>
        <w:ind w:left="399" w:right="392"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Валюталарды айырбастау бағамы бастапқы көрсеткіштері бір валютадан астам валютада берілген инвестициялық жобалардың қаржы ағындарын қайта есептеу үшін қажет. Инвестициялық жоспарлау мақсаттары үшін жоба басталған күн мен бүкіл есепті кезең үшін валюта айырбастау бағамы серпінінің болжамын жасау қажет. Айырбас бағамының динамикасы инфляция қарқынымен сәйкес келмеуі мүмкін.</w:t>
      </w:r>
    </w:p>
    <w:p w14:paraId="2EFCA61D"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Инвестициялық жобаның экономикалық тиімділігі көрсеткіштерін бағалау, талдау және түсіндіру жөніндегі әдістемелік ұсынымдар</w:t>
      </w:r>
    </w:p>
    <w:p w14:paraId="2D7D7AD5"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Таза дисконтталған табыс (ШД) бастапқы қадамға келтірілген бүкіл есептік кезеңдегі ағымдағы әсерлердің сомасы ретінде немесе интегралдық нәтижелердің интегралдық шығындардан асып түсуі ретінде айқындалады.</w:t>
      </w:r>
    </w:p>
    <w:p w14:paraId="41DDFE1E"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Егер инвестициялық жобаның ІЖҚ оң болса, жоба тиімді болып табылады (дисконттың осы нормасы кезінде) және оны қабылдау туралы мәселе қаралуы мүмкін. HDD неғұрлым көп болса, жоба соғұрлым тиімді.</w:t>
      </w:r>
    </w:p>
    <w:p w14:paraId="7C6A9C56"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Кірістілік индексі (ИД) келтірілген әсерлер сомасының капитал салымының шамасына қатынасы болып табылады.</w:t>
      </w:r>
    </w:p>
    <w:p w14:paraId="20FC8E79"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 xml:space="preserve">Кірістілік индексі ЖЖД-мен тығыз байланысты. Ол сол элементтерден құрылады және оның мәні СДД мәніне байланысты: егер СДД оң болса, онда </w:t>
      </w:r>
      <w:proofErr w:type="gramStart"/>
      <w:r w:rsidRPr="00F6294B">
        <w:rPr>
          <w:rFonts w:ascii="Times New Roman" w:eastAsia="Times New Roman" w:hAnsi="Times New Roman" w:cs="Times New Roman"/>
          <w:sz w:val="20"/>
          <w:szCs w:val="20"/>
          <w:lang w:eastAsia="ru-RU" w:bidi="ru-RU"/>
        </w:rPr>
        <w:t>СД &gt;</w:t>
      </w:r>
      <w:proofErr w:type="gramEnd"/>
      <w:r w:rsidRPr="00F6294B">
        <w:rPr>
          <w:rFonts w:ascii="Times New Roman" w:eastAsia="Times New Roman" w:hAnsi="Times New Roman" w:cs="Times New Roman"/>
          <w:sz w:val="20"/>
          <w:szCs w:val="20"/>
          <w:lang w:eastAsia="ru-RU" w:bidi="ru-RU"/>
        </w:rPr>
        <w:t xml:space="preserve"> 1 және керісінше. Егер ДК &gt;1 болса, жоба тиімді, Егер ДК </w:t>
      </w:r>
      <w:proofErr w:type="gramStart"/>
      <w:r w:rsidRPr="00F6294B">
        <w:rPr>
          <w:rFonts w:ascii="Times New Roman" w:eastAsia="Times New Roman" w:hAnsi="Times New Roman" w:cs="Times New Roman"/>
          <w:sz w:val="20"/>
          <w:szCs w:val="20"/>
          <w:lang w:eastAsia="ru-RU" w:bidi="ru-RU"/>
        </w:rPr>
        <w:t>&lt; 1</w:t>
      </w:r>
      <w:proofErr w:type="gramEnd"/>
      <w:r w:rsidRPr="00F6294B">
        <w:rPr>
          <w:rFonts w:ascii="Times New Roman" w:eastAsia="Times New Roman" w:hAnsi="Times New Roman" w:cs="Times New Roman"/>
          <w:sz w:val="20"/>
          <w:szCs w:val="20"/>
          <w:lang w:eastAsia="ru-RU" w:bidi="ru-RU"/>
        </w:rPr>
        <w:t xml:space="preserve"> - тиімсіз болса.</w:t>
      </w:r>
    </w:p>
    <w:p w14:paraId="13F27BEC"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Кірістіліктің ішкі нормасы (ВНД) келтірілген әсерлердің шамасы келтірілген капитал салымдарына тең болатын дисконт нормасын білдіреді, яғни ЧДД = 0.</w:t>
      </w:r>
    </w:p>
    <w:p w14:paraId="5888B68B"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Өтімділік мерзімі - ең аз уақыт аралығы (жобаны жүзеге асыру басталғаннан бастап), одан тыс интегралдық әсер болады және одан әрі теріс емес болып қалады. Басқаша айтқанда, бұл - бастапқы салымдар мен инвестициялық жобаға байланысты басқа да шығындар оны жүзеге асырудың жиынтық нәтижелерімен жабылатын кезең (айларда, тоқсандарда, жылдарда өлшенетін).</w:t>
      </w:r>
    </w:p>
    <w:p w14:paraId="0FCFD9FA"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Жобаны жүзеге асыруға байланысты нәтижелер мен шығындарды дисконттаумен немесе онсыз есептеуге болады. Тиісінше, өтелімділіктің екі түрлі мерзімі болады.</w:t>
      </w:r>
    </w:p>
    <w:p w14:paraId="33E9F961"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Өтелу мерзімін дисконттауды пайдалана отырып анықтау ұсынылады.</w:t>
      </w:r>
    </w:p>
    <w:p w14:paraId="3210C280"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Аталған критерийлермен қатар бірқатар жағдайларда басқалардың да қолданылуы мүмкін: шығындардың интегралдық тиімділігі, шығынсыздық нүктелері, пайданың қарапайым нормасы, капитал қайтарымы және т.б. олардың әрқайсысын қолдану үшін жобаны экономикалық бағалаудың қандай мәселесі оны пайдалана отырып шешілетіндігі және шешімді таңдау қалай жүзеге асырылатыны туралы айқын түсінік қажет.</w:t>
      </w:r>
    </w:p>
    <w:p w14:paraId="48026E2F"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Аталған критерийлердің ешқайсысы жобаны қабылдау үшін өзі жеткілікті болып табылмайды. Жобаға қаражатты инвестициялау туралы шешім инвестициялық жобаның барлық қатысушыларының барлық аталған өлшемдері мен мүдделерінің мәнін ескере отырып қабылдануы тиіс. Бұл шешімде жобаны жүзеге асыру үшін тартылатын капиталдың құрылымы мен уақыт бойынша бөлінуі, сондай-ақ кейбіреулері тек мазмұнды (формальды емес) есепке алынатын басқа да факторлар маңызды рөл атқаруы тиіс.</w:t>
      </w:r>
    </w:p>
    <w:p w14:paraId="2049D811"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Тәуекел және белгісіздік факторларын ескере отырып, жобалардың тиімділігін бағалау ерекшеліктері. Белгісіздік деп жобаны іске асыру шарттары, оның ішінде олармен байланысты шығындар мен нәтижелер туралы ақпараттың толық болмауы немесе дәлсіздігі түсініледі.</w:t>
      </w:r>
    </w:p>
    <w:p w14:paraId="4BF2D998"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lastRenderedPageBreak/>
        <w:t>Жобаларды бағалау кезінде белгісіздіктің және инвестициялық тәуекелдердің мынадай түрлері неғұрлым маңызды болып табылады: экономикалық заңнаманың және ағымдағы экономикалық жағдайдың, инвестициялау және пайданы пайдалану шарттарының тұрақсыздығына байланысты тәуекел; сыртқы экономикалық тәуекел (сауда мен жеткізулерге шектеулер енгізу мүмкіндігі, шекаралар мен т. б. жабу); саяси жағдайдың белгісіздігі, елдегі немесе өңірдегі қолайсыз әлеуметтік-саяси өзгерістер тәуекелі.; техникалық-экономикалық көрсеткіштердің серпіні, жаңа техника мен технологияның параметрлері туралы ақпараттың толық болмауы немесе дәлсіздігі; нарықтық конъюнктураның, бағалардың, валюталық бағамдардың және т. б. ауытқуы; табиғи-климаттық жағдайлардың белгісіздігі, дүлей зілзалалар мүмкіндігі; өндірістік-технологиялық тәуекел (авариялар және жабдықтардың істен шығуы, өндірістік ақау және т. б.); қатысушылардың мақсаттарының, мүдделерінің және мінез-құлқының белгісіздігі; қатысушы кәсіпорындардың қаржылық жағдайы және іскерлік беделі туралы ақпараттың толық болмауы немесе дәлсіздігі(төлем жасамау, банкроттық, шарттық</w:t>
      </w:r>
    </w:p>
    <w:p w14:paraId="3E9278C1"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Тәуекелмен ұштасқан жобаны іске асырудың ұйымдық-экономикалық тетігі тәуекелді төмендетуге немесе онымен байланысты қолайсыз салдарды азайтуға мүмкіндік беретін ерекше элементтерді қамтуы тиіс.</w:t>
      </w:r>
    </w:p>
    <w:p w14:paraId="142F6A78"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Осы мақсаттарда мыналар пайдаланылады: белгілі бір "штаттан тыс" жағдайларда қатысушылардың алдын ала әзірленген мінез-құлық ережелері (мысалы, жобаны іске асыру шарттарының қандай да бір өзгерістері кезінде қатысушылардың тиісті іс-әрекеттерін көздейтін сценарийлер); жобаны іске асыру шарттарының елеулі өзгерістері кезінде қатысушылардың іс-әрекеттерін синхрондауды жүзеге асыратын басқарушы (үйлестіру) орталығы.</w:t>
      </w:r>
    </w:p>
    <w:p w14:paraId="7A1435B6"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Инвестициялық жобаны іске асыру шарттарының белгісіздігі берілген болып табылмайды. Жобаның жүзеге асырылуына қарай қатысушыларға іске асыру шарттары туралы қосымша ақпарат келіп түседі және бұрын болған белгісіздік "алынып тасталады".</w:t>
      </w:r>
    </w:p>
    <w:p w14:paraId="745D8931"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Осыны ескере отырып, инвестициялық жобаны іске асыруды басқару жүйесі оны іске асырудың өзгермелі шарттары туралы ақпаратты жинау мен өңдеуді және жобаны, қатысушылардың бірлескен іс-қимыл кестелерін, олардың арасындағы шарттар талаптарын тиісті түзетуді көздеуі тиіс.</w:t>
      </w:r>
    </w:p>
    <w:p w14:paraId="4365033A"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Жобаның тиімділігін бағалау кезінде белгісіздік және тәуекел факторларын есепке алу үшін оны іске асыру шарттары туралы қолда бар, оның ішінде бөлудің қандай да бір ықтималдылық заңдары нысанында білдірілмейтін барлық ақпарат пайдаланылады. Бұл ретте мынадай үш әдіс (дәлдікті арттыру тәртібімен) пайдаланылуы мүмкін: орнықтылықты тексеру; жоба параметрлерін және экономикалық нормативтерді түзету; белгісіздікті формалды сипаттау.</w:t>
      </w:r>
    </w:p>
    <w:p w14:paraId="1539AD9A"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Орнықтылықты тексеру әдісі жобаны іске асыру сценарийлерін әзірлеу үшін неғұрлым ықтимал немесе неғұрлым қауіпті</w:t>
      </w:r>
    </w:p>
    <w:p w14:paraId="60C5A524"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қандай да бір қатысушы жағдайларда. Әрбір сценарий бойынша жобаны іске асырудың ұйымдық - экономикалық тетігінің тиісті жағдайларында қалай әрекет ететіндігі, бұл ретте жекелеген қатысушылардың, мемлекет пен халықтың табыстары, шығындары мен тиімділік көрсеткіштері қандай болатыны зерттеледі. Тәуекел факторларының дисконт нормасына әсері бұл ретте ескерілмейді.</w:t>
      </w:r>
    </w:p>
    <w:p w14:paraId="195D38C3"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Егер барлық қарастырылған жағдайларда қатысушылардың мүдделері сақталса, ал ықтимал қолайсыз салдарлар қорлар мен резервтер есебінен жойылса немесе сақтандыру төлемдерімен өтелетін болса, жоба орнықты және тиімді болып саналады.</w:t>
      </w:r>
    </w:p>
    <w:p w14:paraId="28574CC9"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Іске асыру шарттарының ықтимал өзгерістеріне қатысты жобаның тұрақтылық дәрежесі өндіріс көлемінің шекті деңгейінің, өндірілетін өнім бағасының және жобаның басқа параметрлерінің көрсеткіштерімен сипатталуы мүмкін.</w:t>
      </w:r>
    </w:p>
    <w:p w14:paraId="38297A7C"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Жоба параметрлерін және экономикалық нормативтерді түзету әдісі. Жоба параметрінің шекті мәні оны іске асырудың кейбір t-жылы үшін осы параметрдің t-жылдағы мәні ретінде анықталады, бұл ретте осы жылдағы қатысушының таза пайдасы нөлдік болады.</w:t>
      </w:r>
    </w:p>
    <w:p w14:paraId="2A4CBB1E"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Бұл үлгінің ең маңызды көрсеткіштерінің бірі сату көлемін сипаттайтын шығынсыздық нүктесі болып табылады, бұл ретте өнімді сатудан түскен түсім өндіріс шығындарына сәйкес келеді. Бұл көрсеткішті анықтаған кезде өнім өндіруге арналған шығындар шартты-тұрақты (өндіріс көлемі өзгерген кезде өзгермейтін) және өндіріс көлеміне тікелей пропорционалды түрде өзгеретін шартты-өзгермелі болып бөлінуі мүмкін деп қабылданады.</w:t>
      </w:r>
    </w:p>
    <w:p w14:paraId="5CB34018"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Егер өндіріс көлемінің өзгеруі кезінде немесе өндірістік қуатты пайдалану деңгейінің өзгеруі кезінде шығынның шамасы сызықсыз өзгерсе, ал алгоритм бұрынғы күйінде қалса да есептеу әдісі қиындайды.</w:t>
      </w:r>
    </w:p>
    <w:p w14:paraId="65149413" w14:textId="63AEBC85" w:rsid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Жобаны іске асыру шарттарының ықтимал белгісіздігі, сондай-ақ жоба параметрлерін түзету және экономикалық нормативтер есебінде қолданылатын, олардың жобалық мәндерін күтілетін шамаларға ауыстыру жолымен ескерілуі мүмкін. Осы мақсаттарда: Құрылыс және басқа да жұмыстарды орындау мерзімдері ықтимал кідірістердің орташа шамасына ұлғайтылады; жобалау ұйымының қателіктеріне, құрылыс барысында жобалық шешімдерді қайта қарауға және күтпеген шығыстарға негізделген құрылыс құнының орташа ұлғаюы ескеріледі; төлемдердің кешіктірілуі, шикізат пен материалдарды жеткізудің нақты болмайтындығы, жабдықтың жоспардан тыс істен шығуы, персонал жол беретін технологияның бұзылуы, төленетін және алынатын айыппұлдар және шарттық міндеттемелерді бұзғаны үшін өзге де Санкциялар ескеріледі; егер жобада қатысушыны инвестициялық тәуекелдің белгілі бір түрінен сақтандыру көзделмесе, оның шығындарының құрамына осы тәуекелден күтілетін шығындар енгізіледі.</w:t>
      </w:r>
    </w:p>
    <w:p w14:paraId="5B6DFE26"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Осыған ұқсас жанама қаржылық нәтижелер құрамында инвестициялық тәуекелдердің бөгде кәсіпорындар мен халыққа әсері ескеріледі; дисконт нормасы мен талап етілетін ІНҚ артады.</w:t>
      </w:r>
    </w:p>
    <w:p w14:paraId="25BBEC3F"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Ең дәл (техникалық тұрғыдан алғанда ең күрделі) белгісіздікті формальды сипаттау әдісі болып табылады.</w:t>
      </w:r>
    </w:p>
    <w:p w14:paraId="3562EAB4"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 xml:space="preserve">Инвестициялық жобаларды бағалау кезінде неғұрлым жиі кездесетін белгісіздік түрлеріне қатысты бұл </w:t>
      </w:r>
      <w:r w:rsidRPr="00F6294B">
        <w:rPr>
          <w:rFonts w:ascii="Times New Roman" w:eastAsia="Times New Roman" w:hAnsi="Times New Roman" w:cs="Times New Roman"/>
          <w:sz w:val="20"/>
          <w:szCs w:val="20"/>
          <w:lang w:eastAsia="ru-RU" w:bidi="ru-RU"/>
        </w:rPr>
        <w:lastRenderedPageBreak/>
        <w:t>әдіс мынадай кезеңдерді қамтиды: жобаны іске асырудың барлық мүмкін болатын шарттарының (не тиісті сценарийлер нысанында не жобаның негізгі техникалық, экономикалық және т. б. параметрлерінің мәндеріне шектеу жүйесі түрінде) және осы шарттарға жауап беретін шығындардың (сақтандырумен және резервтеумен байланысты мүмкін болатын санкциялар мен шығындарды қоса алғанда), инвестициялық жобаларды бағалау кезінде неғұрлым жиі кездесетін белгісіздік түрлеріне; белгісіздік факторлары туралы бастапқы ақпаратты іске асырудың жекелеген жағдайларының ықтималдығы және тиімділіктің тиісті көрсеткіштері туралы немесе олардың өзгеру аралығы туралы ақпаратқа түрлендіру; жобаны іске асыру шарттарының белгісіздігін - күтілетін тиімділік көрсеткіштерін ескере отырып, тұтастай алғанда жобаның тиімділік көрсеткіштерін айқындау.</w:t>
      </w:r>
    </w:p>
    <w:p w14:paraId="2ED2CF9D"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Жиналған деректер: уақыт; құн; сапа; жобаны ұйымдастыру; жұмыстың мазмұны көрсеткіштері бойынша жоба жұмыстарын орындау прогресін есептеу үшін пайдаланылады.</w:t>
      </w:r>
    </w:p>
    <w:p w14:paraId="687373CD"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Прогресті өлшеу үшін орындалатын жұмыстың ерекшелігіне байланысты әртүрлі шкалалар қолданылуы мүмкін.</w:t>
      </w:r>
    </w:p>
    <w:p w14:paraId="302E8166"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Белгілі бір орындау кестесіне сәйкес дискретті өсімдер анықталатын, аяқталуы нақты материалдық нәтижелерге әкелетін өлшенетін жұмыстар.</w:t>
      </w:r>
    </w:p>
    <w:p w14:paraId="0326FE8D"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Дискретті жоспарланған өсімдерге Бөлуге болмайтын ықпал ету жұмыстары-жобаны қолдау және басқару, билік құрылымдарында мүдделік қолдау және т. б. түріндегі жұмыстар.</w:t>
      </w:r>
    </w:p>
    <w:p w14:paraId="0A000832"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Жобаны іске асырудағы прогресті бақылау — бұл жоспарланған және іске асырылған аралық немесе түпкілікті нәтижелерді салыстыру.</w:t>
      </w:r>
    </w:p>
    <w:p w14:paraId="3E4716A5"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Жұмыстың аяқталу мерзімі бақылау мен талдау үшін неғұрлым айқын болып табылады. Егер қиын жол жұмыстарында немесе жобаның негізгі кезеңдеріне қол жеткізуде кідірістер байқалса, онда барлық жоба тиісті мерзімге кешіктіріледі.</w:t>
      </w:r>
    </w:p>
    <w:p w14:paraId="483C966B"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Нақты ақпарат нақты деректерге негізделген жаңа кестелерді жасау үшін пайдаланылады. Әрбір жұмыс үшін оның жағдайы (басталуы, аяқталуы, орындалған ұзақтығы және қалған ұзақтығы қандай) бағаланады, орындалатын жұмыстар үшін жаңа ұзақтықтар есептеледі. Базалық жоспар бойынша ұзын немесе қысқа болуы мүмкін бұл жаңа ұзақтықтар барлық тізбекті жылжытады</w:t>
      </w:r>
    </w:p>
    <w:p w14:paraId="5763534C"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және бұл әлі басталмаған жұмыс күнінің өзгеруіне әкеледі. Бұл процесс әдетте жобаның жаңа аяқталу күніне әкеледі.</w:t>
      </w:r>
    </w:p>
    <w:p w14:paraId="187F6EF1"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Жұмыстың жалпы ұзақтығы әрдайым осы күнге өткен жұмыс кезеңдерінің сомасына және қажетті болашақ жұмыс кезеңдерінің санын бағалауға тең. Бұл уақытша бағалар үшін дұрыс, және сол негіз ресурстық және құндық бағалар үшін қолданылады.</w:t>
      </w:r>
    </w:p>
    <w:p w14:paraId="6BCFCF57"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Жобаның уақытша параметрлерін жоспарлау әдістерін пайдалану барлық жұмыстардың аяқталу күндерін оңай қайта есептеуге мүмкіндік береді.</w:t>
      </w:r>
    </w:p>
    <w:p w14:paraId="1E523ADD"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Орындау және жұмсалған уақыт өте ақпараттық көрсеткіш болып табылады, себебі жоба немесе жұмыс ағымдағы күнге пайдаланылған уақыт саны мен нақты нәтижелер, жұмыстың аяқталу дәрежесі арасында айтарлықтай сәйкессіздік жиі бар.</w:t>
      </w:r>
    </w:p>
    <w:p w14:paraId="53A8E64F"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Кешенді жинағы өлшемдерін басқару жүйесінің тиімділігін қалыптасады учѐтом екі бағыттарын бағалау оның жұмыс істеуі бойынша сәйкестік дәрежесін осыдан шығатын жетістіктері нәтижелерін белгіленген мақсатына сәйкес өндірістік-шаруашылық ұйымдастыру; сәйкестілік дәрежесі бойынша процесс жүйесінің жұмыс істеуінің объективті талаптарына сәйкес, оның мазмұнына ұйымдастыру және нәтижелері.</w:t>
      </w:r>
    </w:p>
    <w:p w14:paraId="11983D1E"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Ұйымдастырушылық құрылымның әр түрлі нұсқаларын салыстыру кезінде тиімділік өлшемі қызмет етуге қатысты аз шығындар кезінде басқару жүйесінің түпкілікті мақсаттарына барынша толық және тұрақты қол жеткізу мүмкіндігі болып табылады.</w:t>
      </w:r>
    </w:p>
    <w:p w14:paraId="186D6844"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Басқару жүйесінің тиімділігін бағалау үшін принципті маңызы нормативтік ретінде қабылданатын тиімділік деңгейін салыстыру немесе анықтау үшін базаны таңдау болады. Басқару аппаратының және оның ұйымдық құрылымының тиімділігін бағалау кезінде пайдаланылатын көрсеткіштер мынадай өзара байланысты үш топқа бөлінуі мүмкін.</w:t>
      </w:r>
    </w:p>
    <w:p w14:paraId="3845AD4E"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1. Ұйым қызметінің түпкілікті нәтижелері және басқаруға арналған шығындар арқылы көрінетін басқару жүйесінің тиімділігін сипаттайтын көрсеткіштер тобы. Ұйым қызметінің түпкілікті нәтижелерін сипаттайтын көрсеткіштер негізінде тиімділікті бағалау кезінде басқару жүйесінің жұмыс істеуі немесе дамуымен негізделген тиімділік ретінде кӛлемі, пайда, өзіндік құны, күрделі салымдардың кӛлемі, ӛнімнің сапасы, жаңа техника мен т. б. енгізу мерзімдері қарастырылуы мүмкін.</w:t>
      </w:r>
    </w:p>
    <w:p w14:paraId="64165071"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2. Басқару процесінің мазмұны мен ұйымдастырылуын сипаттайтын көрсеткіштер тобы, оның ішінде басқару еңбегінің тікелей нәтижелері мен шығындары. Басқаруға шығындар ретінде басқару аппаратын ұстауға, техникалық құралдарды пайдалануға, ғимараттар мен үй-жайларды ұстауға, басқарма кадрларын даярлауға және қайта даярлауға арналған ағымдағы шығыстар ескеріледі.</w:t>
      </w:r>
    </w:p>
    <w:p w14:paraId="4718E75A"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Басқару процесінің тиімділігін бағалау кезінде сандық және сапалы бағалануы мүмкін көрсеткіштер пайдаланылады.</w:t>
      </w:r>
    </w:p>
    <w:p w14:paraId="21703B8B"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Басқару аппаратының өнімділігі ұйымның өндірген соңғы өнімнің немесе ақпаратты басқару процесінде өндірілген өнімнің саны ретінде айқындалуы мүмкін.</w:t>
      </w:r>
    </w:p>
    <w:p w14:paraId="69A900C9"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Басқару аппаратының үнемділігі деп оның жұмыс істеуіне қатысты шығындар түсініледі. Үнемділікті бағалау үшін басқару аппаратын ұстауға жұмсалатын шығындардың үлес салмағы, өндірістік-өндірістік персоналдың санындағы басқарушы қызметкерлердің үлес салмағы, жұмыстың жекелеген түрлерінің бірлік бірлігін орындау құны сияқты көрсеткіштер қолданылуы мүмкін.</w:t>
      </w:r>
    </w:p>
    <w:p w14:paraId="13900F31"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Басқару жүйесінің бейімделуі өзгеретін шарттардың белгілі бір диапазонында берілген функцияларды тиімді орындау қабілетімен анықталады. Бұл диапазон салыстырмалы түрде кең болған сайын, әсіресе бейімделген жүйе болып саналады.</w:t>
      </w:r>
    </w:p>
    <w:p w14:paraId="18A37B0F"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lastRenderedPageBreak/>
        <w:t>Икемділік басқару аппараты органдарының шешімдер қабылдау процесіндегі өз рөлін туындайтын міндеттерге сәйкес өзгерту және осы құрылымға тән қатынастарды тәртіпке келтірмей, жаңа байланыстарды жолға қою қасиетін сипаттайды.</w:t>
      </w:r>
    </w:p>
    <w:p w14:paraId="52B4A106"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Басқару аппаратының міндеті жалпы оның тоқтаусыз жұмыс істеуін сипаттайды. Егер мақсаттарды анықтау және проблемаларды қою сапасы жеткілікті деп санаса, яғни белгіленген мерзімдер мен бөлінген ресурстар шеңберінде тапсырмалардың орындалуын қамтамасыз ету қабілеті. Басқару аппараты мен оның кіші жүйелерінің атқарымдылығын бағалау үшін жоспарлы тапсырмаларды орындау деңгейі және бекітілген нормативтердің сақталуы, нұсқауларды орындау кезінде ауытқулардың болмауы пайдаланылуы мүмкін.</w:t>
      </w:r>
    </w:p>
    <w:p w14:paraId="76925452" w14:textId="77777777" w:rsidR="00F6294B" w:rsidRP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Ұйымдастырушылық құрылымның ұтымдылығын және техникалық-ұйымдастыру деңгейін сипаттайтын көрсеткіштер тобы. Құрылымдарға басқару жүйесінің буыны, басқару функцияларын орталықтандыру деңгейі, қабылданған басқару нормалары, құқықтар мен жауапкершілікті бөлудің теңгерімділігі жатады.</w:t>
      </w:r>
    </w:p>
    <w:p w14:paraId="40B4D1AD" w14:textId="66B9B244" w:rsidR="00F6294B" w:rsidRDefault="00F6294B" w:rsidP="00F6294B">
      <w:pPr>
        <w:widowControl w:val="0"/>
        <w:autoSpaceDE w:val="0"/>
        <w:autoSpaceDN w:val="0"/>
        <w:spacing w:after="0" w:line="240" w:lineRule="auto"/>
        <w:ind w:left="399" w:right="389" w:firstLine="566"/>
        <w:jc w:val="both"/>
        <w:rPr>
          <w:rFonts w:ascii="Times New Roman" w:eastAsia="Times New Roman" w:hAnsi="Times New Roman" w:cs="Times New Roman"/>
          <w:sz w:val="20"/>
          <w:szCs w:val="20"/>
          <w:lang w:eastAsia="ru-RU" w:bidi="ru-RU"/>
        </w:rPr>
      </w:pPr>
      <w:r w:rsidRPr="00F6294B">
        <w:rPr>
          <w:rFonts w:ascii="Times New Roman" w:eastAsia="Times New Roman" w:hAnsi="Times New Roman" w:cs="Times New Roman"/>
          <w:sz w:val="20"/>
          <w:szCs w:val="20"/>
          <w:lang w:eastAsia="ru-RU" w:bidi="ru-RU"/>
        </w:rPr>
        <w:t>Басқару тиімділігін бағалау үшін басқару жүйесінің және ұйымдастыру құрылымының басқару объектісіне сәйкестігін анықтау маңызды мәнге ие. Бұл басқару функциялары мен мақсаттары құрамының теңгерімділігінде, қызметкерлер құрамы санының жұмыстың көлемі мен күрделілігіне сәйкес келуі, талап етілетін ақпаратпен қамтамасыз етудің толықтығы, олардың номенклатурасын есепке ала отырып, технологиялық құралдарды басқару процестерінің қамтамасыз етілуі көрініс табады.</w:t>
      </w:r>
      <w:bookmarkStart w:id="0" w:name="_GoBack"/>
      <w:bookmarkEnd w:id="0"/>
    </w:p>
    <w:p w14:paraId="2866948C" w14:textId="77777777" w:rsidR="00F6294B" w:rsidRDefault="00F6294B" w:rsidP="00EF19B8">
      <w:pPr>
        <w:widowControl w:val="0"/>
        <w:autoSpaceDE w:val="0"/>
        <w:autoSpaceDN w:val="0"/>
        <w:spacing w:before="67" w:after="0" w:line="240" w:lineRule="auto"/>
        <w:ind w:left="399" w:right="399" w:firstLine="566"/>
        <w:jc w:val="both"/>
        <w:rPr>
          <w:rFonts w:ascii="Times New Roman" w:eastAsia="Times New Roman" w:hAnsi="Times New Roman" w:cs="Times New Roman"/>
          <w:sz w:val="20"/>
          <w:szCs w:val="20"/>
          <w:lang w:eastAsia="ru-RU" w:bidi="ru-RU"/>
        </w:rPr>
      </w:pPr>
    </w:p>
    <w:p w14:paraId="4E1AFB9C" w14:textId="77777777" w:rsidR="001A484F" w:rsidRPr="00F6294B" w:rsidRDefault="001A484F">
      <w:pPr>
        <w:rPr>
          <w:sz w:val="20"/>
          <w:szCs w:val="20"/>
        </w:rPr>
      </w:pPr>
    </w:p>
    <w:sectPr w:rsidR="001A484F" w:rsidRPr="00F6294B">
      <w:pgSz w:w="11910" w:h="16840"/>
      <w:pgMar w:top="1040" w:right="460" w:bottom="280" w:left="13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9067C1"/>
    <w:multiLevelType w:val="hybridMultilevel"/>
    <w:tmpl w:val="4D7293CE"/>
    <w:lvl w:ilvl="0" w:tplc="BA3E5C40">
      <w:start w:val="1"/>
      <w:numFmt w:val="decimal"/>
      <w:lvlText w:val="%1."/>
      <w:lvlJc w:val="left"/>
      <w:pPr>
        <w:ind w:left="399" w:hanging="451"/>
        <w:jc w:val="left"/>
      </w:pPr>
      <w:rPr>
        <w:rFonts w:ascii="Times New Roman" w:eastAsia="Times New Roman" w:hAnsi="Times New Roman" w:cs="Times New Roman" w:hint="default"/>
        <w:w w:val="99"/>
        <w:sz w:val="28"/>
        <w:szCs w:val="28"/>
        <w:lang w:val="ru-RU" w:eastAsia="ru-RU" w:bidi="ru-RU"/>
      </w:rPr>
    </w:lvl>
    <w:lvl w:ilvl="1" w:tplc="911A3A64">
      <w:numFmt w:val="bullet"/>
      <w:lvlText w:val="•"/>
      <w:lvlJc w:val="left"/>
      <w:pPr>
        <w:ind w:left="1374" w:hanging="451"/>
      </w:pPr>
      <w:rPr>
        <w:rFonts w:hint="default"/>
        <w:lang w:val="ru-RU" w:eastAsia="ru-RU" w:bidi="ru-RU"/>
      </w:rPr>
    </w:lvl>
    <w:lvl w:ilvl="2" w:tplc="64D6ECC6">
      <w:numFmt w:val="bullet"/>
      <w:lvlText w:val="•"/>
      <w:lvlJc w:val="left"/>
      <w:pPr>
        <w:ind w:left="2348" w:hanging="451"/>
      </w:pPr>
      <w:rPr>
        <w:rFonts w:hint="default"/>
        <w:lang w:val="ru-RU" w:eastAsia="ru-RU" w:bidi="ru-RU"/>
      </w:rPr>
    </w:lvl>
    <w:lvl w:ilvl="3" w:tplc="2D00D6EA">
      <w:numFmt w:val="bullet"/>
      <w:lvlText w:val="•"/>
      <w:lvlJc w:val="left"/>
      <w:pPr>
        <w:ind w:left="3323" w:hanging="451"/>
      </w:pPr>
      <w:rPr>
        <w:rFonts w:hint="default"/>
        <w:lang w:val="ru-RU" w:eastAsia="ru-RU" w:bidi="ru-RU"/>
      </w:rPr>
    </w:lvl>
    <w:lvl w:ilvl="4" w:tplc="7ABC1D54">
      <w:numFmt w:val="bullet"/>
      <w:lvlText w:val="•"/>
      <w:lvlJc w:val="left"/>
      <w:pPr>
        <w:ind w:left="4297" w:hanging="451"/>
      </w:pPr>
      <w:rPr>
        <w:rFonts w:hint="default"/>
        <w:lang w:val="ru-RU" w:eastAsia="ru-RU" w:bidi="ru-RU"/>
      </w:rPr>
    </w:lvl>
    <w:lvl w:ilvl="5" w:tplc="A58A4624">
      <w:numFmt w:val="bullet"/>
      <w:lvlText w:val="•"/>
      <w:lvlJc w:val="left"/>
      <w:pPr>
        <w:ind w:left="5272" w:hanging="451"/>
      </w:pPr>
      <w:rPr>
        <w:rFonts w:hint="default"/>
        <w:lang w:val="ru-RU" w:eastAsia="ru-RU" w:bidi="ru-RU"/>
      </w:rPr>
    </w:lvl>
    <w:lvl w:ilvl="6" w:tplc="6A4AFC8C">
      <w:numFmt w:val="bullet"/>
      <w:lvlText w:val="•"/>
      <w:lvlJc w:val="left"/>
      <w:pPr>
        <w:ind w:left="6246" w:hanging="451"/>
      </w:pPr>
      <w:rPr>
        <w:rFonts w:hint="default"/>
        <w:lang w:val="ru-RU" w:eastAsia="ru-RU" w:bidi="ru-RU"/>
      </w:rPr>
    </w:lvl>
    <w:lvl w:ilvl="7" w:tplc="23D8621A">
      <w:numFmt w:val="bullet"/>
      <w:lvlText w:val="•"/>
      <w:lvlJc w:val="left"/>
      <w:pPr>
        <w:ind w:left="7220" w:hanging="451"/>
      </w:pPr>
      <w:rPr>
        <w:rFonts w:hint="default"/>
        <w:lang w:val="ru-RU" w:eastAsia="ru-RU" w:bidi="ru-RU"/>
      </w:rPr>
    </w:lvl>
    <w:lvl w:ilvl="8" w:tplc="09E02EA4">
      <w:numFmt w:val="bullet"/>
      <w:lvlText w:val="•"/>
      <w:lvlJc w:val="left"/>
      <w:pPr>
        <w:ind w:left="8195" w:hanging="451"/>
      </w:pPr>
      <w:rPr>
        <w:rFonts w:hint="default"/>
        <w:lang w:val="ru-RU" w:eastAsia="ru-RU" w:bidi="ru-RU"/>
      </w:rPr>
    </w:lvl>
  </w:abstractNum>
  <w:abstractNum w:abstractNumId="1" w15:restartNumberingAfterBreak="0">
    <w:nsid w:val="52CD43AF"/>
    <w:multiLevelType w:val="hybridMultilevel"/>
    <w:tmpl w:val="AD18E5D6"/>
    <w:lvl w:ilvl="0" w:tplc="EA789220">
      <w:numFmt w:val="bullet"/>
      <w:lvlText w:val="—"/>
      <w:lvlJc w:val="left"/>
      <w:pPr>
        <w:ind w:left="399" w:hanging="409"/>
      </w:pPr>
      <w:rPr>
        <w:rFonts w:ascii="Times New Roman" w:eastAsia="Times New Roman" w:hAnsi="Times New Roman" w:cs="Times New Roman" w:hint="default"/>
        <w:w w:val="99"/>
        <w:sz w:val="28"/>
        <w:szCs w:val="28"/>
        <w:lang w:val="ru-RU" w:eastAsia="ru-RU" w:bidi="ru-RU"/>
      </w:rPr>
    </w:lvl>
    <w:lvl w:ilvl="1" w:tplc="4DEE1484">
      <w:numFmt w:val="bullet"/>
      <w:lvlText w:val="-"/>
      <w:lvlJc w:val="left"/>
      <w:pPr>
        <w:ind w:left="399" w:hanging="312"/>
      </w:pPr>
      <w:rPr>
        <w:rFonts w:ascii="Times New Roman" w:eastAsia="Times New Roman" w:hAnsi="Times New Roman" w:cs="Times New Roman" w:hint="default"/>
        <w:w w:val="99"/>
        <w:sz w:val="28"/>
        <w:szCs w:val="28"/>
        <w:lang w:val="ru-RU" w:eastAsia="ru-RU" w:bidi="ru-RU"/>
      </w:rPr>
    </w:lvl>
    <w:lvl w:ilvl="2" w:tplc="64C0B728">
      <w:numFmt w:val="bullet"/>
      <w:lvlText w:val="•"/>
      <w:lvlJc w:val="left"/>
      <w:pPr>
        <w:ind w:left="2348" w:hanging="312"/>
      </w:pPr>
      <w:rPr>
        <w:rFonts w:hint="default"/>
        <w:lang w:val="ru-RU" w:eastAsia="ru-RU" w:bidi="ru-RU"/>
      </w:rPr>
    </w:lvl>
    <w:lvl w:ilvl="3" w:tplc="076044CE">
      <w:numFmt w:val="bullet"/>
      <w:lvlText w:val="•"/>
      <w:lvlJc w:val="left"/>
      <w:pPr>
        <w:ind w:left="3323" w:hanging="312"/>
      </w:pPr>
      <w:rPr>
        <w:rFonts w:hint="default"/>
        <w:lang w:val="ru-RU" w:eastAsia="ru-RU" w:bidi="ru-RU"/>
      </w:rPr>
    </w:lvl>
    <w:lvl w:ilvl="4" w:tplc="136C807E">
      <w:numFmt w:val="bullet"/>
      <w:lvlText w:val="•"/>
      <w:lvlJc w:val="left"/>
      <w:pPr>
        <w:ind w:left="4297" w:hanging="312"/>
      </w:pPr>
      <w:rPr>
        <w:rFonts w:hint="default"/>
        <w:lang w:val="ru-RU" w:eastAsia="ru-RU" w:bidi="ru-RU"/>
      </w:rPr>
    </w:lvl>
    <w:lvl w:ilvl="5" w:tplc="FB9C4BFC">
      <w:numFmt w:val="bullet"/>
      <w:lvlText w:val="•"/>
      <w:lvlJc w:val="left"/>
      <w:pPr>
        <w:ind w:left="5272" w:hanging="312"/>
      </w:pPr>
      <w:rPr>
        <w:rFonts w:hint="default"/>
        <w:lang w:val="ru-RU" w:eastAsia="ru-RU" w:bidi="ru-RU"/>
      </w:rPr>
    </w:lvl>
    <w:lvl w:ilvl="6" w:tplc="750E307E">
      <w:numFmt w:val="bullet"/>
      <w:lvlText w:val="•"/>
      <w:lvlJc w:val="left"/>
      <w:pPr>
        <w:ind w:left="6246" w:hanging="312"/>
      </w:pPr>
      <w:rPr>
        <w:rFonts w:hint="default"/>
        <w:lang w:val="ru-RU" w:eastAsia="ru-RU" w:bidi="ru-RU"/>
      </w:rPr>
    </w:lvl>
    <w:lvl w:ilvl="7" w:tplc="D878FC96">
      <w:numFmt w:val="bullet"/>
      <w:lvlText w:val="•"/>
      <w:lvlJc w:val="left"/>
      <w:pPr>
        <w:ind w:left="7220" w:hanging="312"/>
      </w:pPr>
      <w:rPr>
        <w:rFonts w:hint="default"/>
        <w:lang w:val="ru-RU" w:eastAsia="ru-RU" w:bidi="ru-RU"/>
      </w:rPr>
    </w:lvl>
    <w:lvl w:ilvl="8" w:tplc="9350F844">
      <w:numFmt w:val="bullet"/>
      <w:lvlText w:val="•"/>
      <w:lvlJc w:val="left"/>
      <w:pPr>
        <w:ind w:left="8195" w:hanging="312"/>
      </w:pPr>
      <w:rPr>
        <w:rFonts w:hint="default"/>
        <w:lang w:val="ru-RU" w:eastAsia="ru-RU" w:bidi="ru-RU"/>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5BE1"/>
    <w:rsid w:val="001A484F"/>
    <w:rsid w:val="00325BE1"/>
    <w:rsid w:val="0083422B"/>
    <w:rsid w:val="00EF19B8"/>
    <w:rsid w:val="00F629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913257"/>
  <w15:chartTrackingRefBased/>
  <w15:docId w15:val="{CABFCD21-D7E6-4C37-A334-8F6930A98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5924</Words>
  <Characters>33770</Characters>
  <Application>Microsoft Office Word</Application>
  <DocSecurity>0</DocSecurity>
  <Lines>281</Lines>
  <Paragraphs>79</Paragraphs>
  <ScaleCrop>false</ScaleCrop>
  <Company/>
  <LinksUpToDate>false</LinksUpToDate>
  <CharactersWithSpaces>39615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2020-04-01T07:26:00Z</dcterms:created>
  <dcterms:modified xsi:type="dcterms:W3CDTF">2020-04-01T09:23:00Z</dcterms:modified>
</cp:coreProperties>
</file>