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141523"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9-бөлім. Басқару субъектілері</w:t>
      </w:r>
    </w:p>
    <w:p w14:paraId="6E7B9416"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p>
    <w:p w14:paraId="15ED0EEC"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Жобаларды басқару субъектілері – бұл басқару объектілерін басқаратын адамдар. Компанияның қызметкерлері, бөлімшелері, сондай-ақ алқалы (Үйлестіру кеңестері, басқарушы кеңестер және т.б.) және уақытша басқару органдары (жобалау топтары) жобалық басқару субъектілері бола алады.</w:t>
      </w:r>
    </w:p>
    <w:p w14:paraId="4262422F"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Жобаға қатысушылар, жоба командасы, жобаны басқарушы. Басшылық және көшбасшылық.</w:t>
      </w:r>
    </w:p>
    <w:p w14:paraId="4E91E5BB"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Жобаға қатысушылар ұғымы. Жоба қатысушысы негізінде кез келген жеке тұлға болуы мүмкін (жүйенің тіркелген пайдаланушысы, ол өзін оның қатысушыларының тізіміне енгізу үшін жоба әкімшісіне өтінім бере алады). Бір жобаға бір уақытта бірнеше тұлға және бірнеше компания қатыса алады.</w:t>
      </w:r>
    </w:p>
    <w:p w14:paraId="4E271CE9"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Жобаға (бағдарламаға) қатысушылар – бұл басқару шешімдерін әзірлеу және қабылдау кезінде өзара және басқару объектісімен өзара белсенді іс-қимыл жасайтын басқару субъектілері.</w:t>
      </w:r>
    </w:p>
    <w:p w14:paraId="4D8CF8A6"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Жобаны басқарудың негізгі субъектілеріне мыналар жатады: Жобаның негізгі қатысушылары (инвестор, Тапсырыс беруші, бас Контрактор, бас мердігер, орындаушылар. 2. Жобаны басқару командасы: жоба менеджері, жобаның функционалдық менеджерлері-жоба командасының мүшелері.</w:t>
      </w:r>
    </w:p>
    <w:p w14:paraId="342BE8A0"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Жобалардың көптеген менеджерлері деректер қорын жобалаушылар, желі мамандары, пайдаланушы интерфейсі және т.б. сияқты "техникалық" рөлдерге назар аударады.</w:t>
      </w:r>
    </w:p>
    <w:p w14:paraId="13880052"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Жобалық команданың қатысушылары орындайтын рөлдердің ірілендірілген деңгейінде 3 топқа бөлуге болады:</w:t>
      </w:r>
    </w:p>
    <w:p w14:paraId="6380F41F"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команда міндеттерін орындауға бағытталған рөлдер;</w:t>
      </w:r>
    </w:p>
    <w:p w14:paraId="65223B27"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команда жұмысын құруға/ қолдауға бағытталған рөлдер;</w:t>
      </w:r>
    </w:p>
    <w:p w14:paraId="6D44249A"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жеке рөлдер (функционалды емес).</w:t>
      </w:r>
    </w:p>
    <w:p w14:paraId="6A3D1530"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Команда тиімді жұмыс істеуі үшін бірінші және екінші топтардың рөлі бірдей маңызды. Тек жобаның міндеттерін орындауға ғана бағдар жеткіліксіз, команда қатысушылары "жұмыс істеді" және команданы қолдау қажет. Үшінші топтың рөлі командалық өзара іс-қимыл тұрғысынан деструктивті болып табылады.</w:t>
      </w:r>
    </w:p>
    <w:p w14:paraId="4462CC59"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Қатысушылар арасында рөлдерді бөлуге классикалық тәсіл</w:t>
      </w:r>
    </w:p>
    <w:p w14:paraId="1D463A1E"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xml:space="preserve">"жобалық" команданы доктор Р. М. Белбин (R.Meredith Belbin) ұсынды. Өзінің жұмысын сандық құрамына қарамастан тиімді ұйымдастыруға ұмтылатын әрбір" жобалық " командада мынадай 8 рөл орындалуы тиіс: Төраға (chairman) - оның ресурстарын ең жақсы пайдалануды қамтамасыз ете отырып, команда жалпы мақсаттарға алға жылжитын жолды таңдайды; команданың күшті және әлсіз жақтарын анықтай алады және команданың әрбір қатысушысының әлеуетін барынша қолдануды қамтамасыз ете алады. Рәсімдеуші (shaper) - команданың іс-әрекетіне аяқталған форманы береді, назар аударады және топтық талқылаулар мен бірлескен қызмет нәтижелеріне белгілі бір шеңберді беруге тырысады. Идеялар генераторы (plant) - топ кездесетін басты мәселелерге ерекше назар аудара отырып, жаңа идеялар мен стратегияларды ұсынады. Сыншы </w:t>
      </w:r>
      <w:proofErr w:type="gramStart"/>
      <w:r w:rsidRPr="00614751">
        <w:rPr>
          <w:rFonts w:ascii="Times New Roman" w:eastAsia="Times New Roman" w:hAnsi="Times New Roman" w:cs="Times New Roman"/>
          <w:sz w:val="20"/>
          <w:szCs w:val="20"/>
          <w:lang w:eastAsia="ru-RU" w:bidi="ru-RU"/>
        </w:rPr>
        <w:t>( monitor</w:t>
      </w:r>
      <w:proofErr w:type="gramEnd"/>
      <w:r w:rsidRPr="00614751">
        <w:rPr>
          <w:rFonts w:ascii="Times New Roman" w:eastAsia="Times New Roman" w:hAnsi="Times New Roman" w:cs="Times New Roman"/>
          <w:sz w:val="20"/>
          <w:szCs w:val="20"/>
          <w:lang w:eastAsia="ru-RU" w:bidi="ru-RU"/>
        </w:rPr>
        <w:t>-evaluator) - прагматикалық тұрғыдан проблемаларды талдайды, идеялар мен ұсыныстарды команда теңдестірілген шешімдерді қабылдай алатындай етіп бағалайды. Жұмыс арасы (company worker) - жоспарлар мен тұжырымдамаларды практикалық шешімдерге айналдырады. Әлбетте, кез келген үмітсіз жоба, кем дегенде, осындай аралардың жұбы қажет, бірақ өздері жобаға табыс әкеле алмайды, өйткені қажетті ой-өрісінің кеңдігі жоқ. Команда тірегі (team worker) - жоба қатысушыларының рухын қолдайды, қиын жағдайларда оларға көмек көрсетеді, олардың арасындағы қарым-қатынасты жақсартуға тырысады және жалпы командалық көңіл-күйді көтеруге ықпал етеді. Өндіруші (resource investigator) - жобалау тобынан тыс жаңа идеяларды, әзірлемелерді және ресурстарды анықтайды және хабарлайды, команда үшін пайдалы болуы мүмкін сыртқы байланыстарды реттейді және барлық келесі келіссөздерді жүргізеді. Аяқтаушы (completer) - командада мақсатқа жетудегі табандылықты қолдайды, жоғары назар аударуды талап ететін жұмысты табуға белсенді ұмтылады және мүмкіндігінше әрекетпен де, әрекетсіздікпен де байланысты қателіктерден команда арылуға тырысады.</w:t>
      </w:r>
    </w:p>
    <w:p w14:paraId="2A3044D3"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 топтары арасындағы келісімдерді қолдау. Бұл процесс жобаны басқарумен тығыз байланысты, бұл жобаға қатысушы топтар арасында бұрын қол жеткізілген келісімдерге қол жеткізуді / қайта қарауды көздейді. Топ деп жобаға тартылған әр түрлі компаниялардың бөлімшелері немесе бір компанияның бөлімшелері түсініледі.</w:t>
      </w:r>
    </w:p>
    <w:p w14:paraId="18CD27C6"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Кез келген жобаны басқару үшін оның жұмыс істеуі кезеңінде жоба жетекшісі басқаратын ерекше уақытша ұйымдастыру құрылымы құрылады.</w:t>
      </w:r>
    </w:p>
    <w:p w14:paraId="117B9799"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 командасы-жоба басшысы басқаратын және оның мақсаттарына тиімді қол жеткізу мақсатында жобаны жүзеге асыру кезеңінде құрылатын ерекше Ұйымдық құрылым.</w:t>
      </w:r>
    </w:p>
    <w:p w14:paraId="4D7372B1"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xml:space="preserve">АҚШ пен Канадада командалардың орташа саны-8-10 адам, кейбір жағдайларда 18-ге жетеді. Кіші топтар теориясымен айналысатын ресейлік ғалымдардың зерттеу нәтижелеріне сәйкес келеді. Командаларды жіктеудің негізгі өлшемдері ретінде мыналарды пайдалану </w:t>
      </w:r>
      <w:proofErr w:type="gramStart"/>
      <w:r w:rsidRPr="00614751">
        <w:rPr>
          <w:rFonts w:ascii="Times New Roman" w:eastAsia="Times New Roman" w:hAnsi="Times New Roman" w:cs="Times New Roman"/>
          <w:sz w:val="20"/>
          <w:szCs w:val="20"/>
          <w:lang w:eastAsia="ru-RU" w:bidi="ru-RU"/>
        </w:rPr>
        <w:t>ұсынылады::</w:t>
      </w:r>
      <w:proofErr w:type="gramEnd"/>
    </w:p>
    <w:p w14:paraId="6103CD49"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1. Мүшелік: жұмыс командасының құрамына ұйым қызметкерлерінің қандай санаттары кіреді;</w:t>
      </w:r>
    </w:p>
    <w:p w14:paraId="69E75351"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2. Мақсаттары мен функциялары: жұмыс командасының алдына қандай мақсаттар мен міндеттер қойылады; команда қандай функцияларды орындайды;</w:t>
      </w:r>
    </w:p>
    <w:p w14:paraId="6A74368C"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3. Өмірлік цикл: жұмыс командасының өмір сүру уақытының ұзақтығы қандай;</w:t>
      </w:r>
    </w:p>
    <w:p w14:paraId="075D76D3"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4. Басқару: жұмыс тобына басшылық қалай жүзеге асырылады;</w:t>
      </w:r>
    </w:p>
    <w:p w14:paraId="27A42797"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5. Өзара іс-қимыл: жұмыс командасының жұмыс істеу барысында қандай қарым-қатынас формалары қолданылады;</w:t>
      </w:r>
    </w:p>
    <w:p w14:paraId="5F8F8267"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lastRenderedPageBreak/>
        <w:t>6. Әдістер: алға қойылған мақсаттарға жету үшін командалар қандай тәсілдер мен құралдарды пайдаланады.</w:t>
      </w:r>
    </w:p>
    <w:p w14:paraId="1F8A8C40"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Келтірілген өлшемдерге сәйкес он</w:t>
      </w:r>
    </w:p>
    <w:p w14:paraId="21333D22"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(10) командалардың типтері: интрафункционалды командалар (ақпарат пен функциялар команда мүшелерінің арасында бөлінген; құрылым мен құрам қосымша саласының өзгеруі кезінде өзгеріп отырады); жедел командалар (өзекті мәселелерді шешу және ұсынымдар әзірлеу үшін әртүрлі бейіндегі мамандардың уақытша бірлестігі; мерзімді қысқа мерзімді кездесулер (аптасына 1-2 сағат); тәжірибелік қызмет команданың құзыретіне кірмейді); кроссфункционалды командалар (кейбір процесті жетілдіруге фокусталады; әдетте ұйымның түрлі бөлімшелерінен мамандар тартылады);; жиі мұндай командалар өзін-өзі басқаратын немесе өзін-өзі бағыттайтын командаларға айналады); кәсіпкерлік командалар (ерекше өнім өндіру процесін немесе клиенттер сегментін бақылауға, тұтынушыға бағдарланған жүйені қолдау мен жетілдіруге маманданады); атқарушы командалар (стратегиялық шешімдер мен басшылық жасау үшін құрылады; команда көшбасшысы, әдетте, ұйымның бірінші тұлғасы болып табылады); үйлестіру командалары (стратегиялық шешімдер әзірлеу және төменгі деңгейдегі жұмыс командаларын үйлестіру үшін желілік ұйым жағдайында құрылады);); өзін-өзі басқаратын командалар (мақсаттарды қою және жоспарлау функцияларына байланысты емес мәселелер бойынша үлкен құқықтары, өкілеттіктері және жауапкершіліктері бар; сыртқы байланыстар менеджерлермен немесе басқа бөлімшелермен қамтамасыз етіледі); өндірісте және сервисте өзін-өзі реттейтін командалар (өндірістік процесті немесе сервистік функцияларды қамтамасыз етеді); зияткерлік салада өзін-өзі реттейтін командалар (жаңа бұйымдарды, процестерді, технологияларды әзірлеумен байланысты командалар); виртуалды командалар (Компьютерлік желілер арқылы байланысатын зияткерлік командалар).</w:t>
      </w:r>
    </w:p>
    <w:p w14:paraId="45BCF893"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Мазмұны бойынша жоба командасы жобаның мақсаттарына тиімді қол жеткізу үшін қажетті білімі мен дағдылары бар жоғары білікті мамандар тобын білдіреді.</w:t>
      </w:r>
    </w:p>
    <w:p w14:paraId="7D98F438"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Команда құрамы жобаның ерекшелігіне байланысты және корпоративтік стандарттарға сәйкес болса да оның басшысымен анықталады. Әдетте, команданы жобаға қажетті басқару функцияларына сүйене отырып таңдайды.</w:t>
      </w:r>
    </w:p>
    <w:p w14:paraId="6FDDF9DC"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 командасындағы негізгі бірлік "жоба менеджері"болып табылады.</w:t>
      </w:r>
    </w:p>
    <w:p w14:paraId="31C74DF5"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 менеджерінің негізгі функциялары: жоспарлау, ұйымдастыру, көшбасшылық және басқару.</w:t>
      </w:r>
    </w:p>
    <w:p w14:paraId="46066C2C" w14:textId="77777777" w:rsidR="00614751" w:rsidRP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Команда құру және құру деп жалпы жағдайда осы топтың (команданың) стратегиялық мақсаттарына сәйкес олардың кәсіби, зияткерлік және шығармашылық әлеуетін тиімді іске асыруға мүмкіндік беретін топтағы (команда деп аталатын) адамдардың өзара іс-қимылының ерекше тәсілін мақсатты "құру" процесі түсініледі.</w:t>
      </w:r>
    </w:p>
    <w:p w14:paraId="37796098" w14:textId="7F70A85A" w:rsidR="00614751" w:rsidRDefault="00614751" w:rsidP="00614751">
      <w:pPr>
        <w:widowControl w:val="0"/>
        <w:autoSpaceDE w:val="0"/>
        <w:autoSpaceDN w:val="0"/>
        <w:spacing w:after="0" w:line="240" w:lineRule="auto"/>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Команданың өмірлік циклінің кезеңдері жобаның өмірлік циклына ұқсас. Жобаның командасы өзінің өмірлік циклы бар, онда бес негізгі сатыны бөліп көрсетуге болады: қалыптастыру, өңдеу, жұмыс істеу, қайта ұйымдастыру, тарату.</w:t>
      </w:r>
    </w:p>
    <w:p w14:paraId="0C41714F"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Бастапқы кезеңде команданы қалыптастыру үшін маңызды шарттар:</w:t>
      </w:r>
    </w:p>
    <w:p w14:paraId="45A4923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топтың барлық мүшелері бірлескен жұмыстың мақсаттарын айқын көрсетеді;</w:t>
      </w:r>
    </w:p>
    <w:p w14:paraId="558AB38E"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әр адамның іскерліктері басқалармен белгілі, функциялары бөлінген;</w:t>
      </w:r>
    </w:p>
    <w:p w14:paraId="45172B6C"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топтың ұйымдық құрылымы орындалатын міндетке сәйкес келеді;</w:t>
      </w:r>
    </w:p>
    <w:p w14:paraId="24E9AA19"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топта жұмыс әдістерін ойлайды және оларды жетілдіруге тырысады;</w:t>
      </w:r>
    </w:p>
    <w:p w14:paraId="332F4F15"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уақыт пен ресурстарды жақсы пайдалануға мүмкіндік беретін өзіндік тәртіп дамыған;</w:t>
      </w:r>
    </w:p>
    <w:p w14:paraId="38F9B5D7"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кез келген мәселелерді жинау және талқылау үшін жеткілікті мүмкіндіктер бар;</w:t>
      </w:r>
    </w:p>
    <w:p w14:paraId="5EC1D17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топ өз мүшелерін қолдайды және жақсы қарым-қатынас қалыптасады;</w:t>
      </w:r>
    </w:p>
    <w:p w14:paraId="4C8CE22C"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топта қарым-қатынас ашық, ол тиімді жұмыс жолында кез келген қиындықтар мен кедергілерді кездестіруге дайын.</w:t>
      </w:r>
    </w:p>
    <w:p w14:paraId="53CD9111"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Команданың жұмысын қамтамасыз ететін қағидаттар:</w:t>
      </w:r>
    </w:p>
    <w:p w14:paraId="10432646"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жұмысты орындайтын адамдар "сарапшылар" болып табылады, олар айналысатын салаларда проблемаларды шешу туралы іс жүріп жатыр;</w:t>
      </w:r>
    </w:p>
    <w:p w14:paraId="7B2010E3"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командада жұмыс істейтін адамдардың жиынтық тәжірибесі мен таланттары жалғыз жұмыс істейтіндердің кез келгенінен көп;</w:t>
      </w:r>
    </w:p>
    <w:p w14:paraId="1834BCE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адамдардың көпшілігі жобаға мүдделі, егер олар оларға әсер ететін шешімдерге қандай да бір дәрежеде әсер ете алатын болса;</w:t>
      </w:r>
    </w:p>
    <w:p w14:paraId="3A403EF1"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әр адамның шығармашылық әлеуеті бар, оны жүйелі түрде пайдалануға болады.</w:t>
      </w:r>
    </w:p>
    <w:p w14:paraId="4DBB6689"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Үлкен жобалардың ұйымдық құрылымында және олардың менеджментінде кем дегенде жобалық командалардың үш түрін бөліп көрсетуге болады.</w:t>
      </w:r>
    </w:p>
    <w:p w14:paraId="29597E7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1. Жоба командасы (КП) - бүкіл жобаны жүзеге асыру кезеңінде не оның өмірлік циклі фазаларының бірінде құрылатын Ұйымдық құрылым.</w:t>
      </w:r>
    </w:p>
    <w:p w14:paraId="6954ABBC"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2. Жобаны басқару командасы (ЖБК) - жобаны басқаруға тікелей тартылған ҚН мүшелерін, оның ішінде жобаның жекелеген қатысушыларының өкілдерін және техникалық персоналды қамтитын Ұйымдық құрылым.</w:t>
      </w:r>
    </w:p>
    <w:p w14:paraId="704D40B5"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3. Жоба менеджментінің командасы (КМП) - жобаны Басқарушы (бас менеджер) басқаратын және бүкіл жобаны немесе оның фазасын жүзеге асыру кезеңінде құрылатын Ұйымдық құрылым. Жобаның менеджмент командасына жобаны басқарудың менеджерлік және басқа да функцияларын тікелей жүзеге асыратын жеке тұлғалар кіреді.</w:t>
      </w:r>
    </w:p>
    <w:p w14:paraId="5EB851C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Жобадағы командалардың табысты жұмыс тәжірибесін жинақтап (өкінішке орай, негізінен шетелдік), келесі негізгі қорытындылар жасауға болады:</w:t>
      </w:r>
    </w:p>
    <w:p w14:paraId="6026C444"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lastRenderedPageBreak/>
        <w:t>1. Жобаның жетістігін анықтайтын негізгі фактор (табыстың сыни факторы) жоба менеджменті тобы болып табылады.</w:t>
      </w:r>
    </w:p>
    <w:p w14:paraId="4A4457A5"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2. Оның қызметінің барлық басқа сипаттамалары, элементтері мен құрамдас бөліктері интеграцияланатын табысты КМП негізі жобалық менеджменттің ұйымдық және кәсіби мәдениеті болып табылады.</w:t>
      </w:r>
    </w:p>
    <w:p w14:paraId="3AE320D8"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3. Технологиялық жоспарда КМП ұйымдық және кәсіби мәдениеті құндылықтар жүйесі, менталдық және оларға сәйкес командалық және жеке іс-қимылдар жүйесі арқылы анықталады.</w:t>
      </w:r>
    </w:p>
    <w:p w14:paraId="366FD86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4. КМП құру және дамыту КМП мүшелерінің оның ішінде де, сондай-ақ КМП-нің жобаға кірігуі де ықпалдасу технологияларын (қызметтің әртүрлі кәсіби салаларынан технологиялардың, әдістердің, құралдар мен құралдардың белгілі бір жиынтығын және мақсатты түрде сценарийленген) пайдалану арқылы жүзеге асырылады.</w:t>
      </w:r>
    </w:p>
    <w:p w14:paraId="7BCD003D"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xml:space="preserve">5. Жобаның өзінде және жобаны іске асыру туралы шешімде КМП мәселелері (құзыреті, шешім қабылдау деңгейі, өкілеттігі мен жауапкершілігі және т.б.) көрсетілуі </w:t>
      </w:r>
      <w:proofErr w:type="gramStart"/>
      <w:r w:rsidRPr="00614751">
        <w:rPr>
          <w:rFonts w:ascii="Times New Roman" w:eastAsia="Times New Roman" w:hAnsi="Times New Roman" w:cs="Times New Roman"/>
          <w:sz w:val="20"/>
          <w:szCs w:val="20"/>
          <w:lang w:eastAsia="ru-RU" w:bidi="ru-RU"/>
        </w:rPr>
        <w:t>тиіс.сондай</w:t>
      </w:r>
      <w:proofErr w:type="gramEnd"/>
      <w:r w:rsidRPr="00614751">
        <w:rPr>
          <w:rFonts w:ascii="Times New Roman" w:eastAsia="Times New Roman" w:hAnsi="Times New Roman" w:cs="Times New Roman"/>
          <w:sz w:val="20"/>
          <w:szCs w:val="20"/>
          <w:lang w:eastAsia="ru-RU" w:bidi="ru-RU"/>
        </w:rPr>
        <w:t>-ақ оны қалыптастыруға, құруға және дамытуға арналған ресурстар (қаржылық, уақытша, адамдық) көзделген. Бұл-басшының қарапайым сауаттылығы.</w:t>
      </w:r>
    </w:p>
    <w:p w14:paraId="028F1FCC"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 жетекшісі әдетте келесі функцияларды орындайды:</w:t>
      </w:r>
    </w:p>
    <w:p w14:paraId="47C37D7F"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Жобаның ұйымдық құрылымын және Жобаны басқару командасын қалыптастырады;</w:t>
      </w:r>
    </w:p>
    <w:p w14:paraId="31B2474F"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Жобаға ресурстарды тарту мәселелерін шешеді;</w:t>
      </w:r>
    </w:p>
    <w:p w14:paraId="1F6667D6"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Қызметкерлерді іріктеуге, дайындауға және ынталандыруға қатысады;</w:t>
      </w:r>
    </w:p>
    <w:p w14:paraId="36AA30D1"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Команданың әрбір қатысушысы үшін жауапкершілік, жұмыстың мазмұны мен мақсатын анықтайды;</w:t>
      </w:r>
    </w:p>
    <w:p w14:paraId="3A1FA4F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Жоба жоспарын, оның ішінде күнтізбелік жоспарды, бюджетті, тәуекелдерді басқару жоспарын, коммуникация жоспарын және мүмкін басқа да элементтерді әзірлейді және келіседі;</w:t>
      </w:r>
    </w:p>
    <w:p w14:paraId="6B090FF7"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Жоба жоспарының орындалуын қамтамасыз етеді;</w:t>
      </w:r>
    </w:p>
    <w:p w14:paraId="55B66E51"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Жобада келісім-шарттар жасау бойынша жұмыстарды үйлестіреді және қатысады және олардың уақтылы орындалуын және жабылуын бақылайды;</w:t>
      </w:r>
    </w:p>
    <w:p w14:paraId="52B2EF5E"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Барлық қажетті коммуникациялық байланыстарды орнатады;</w:t>
      </w:r>
    </w:p>
    <w:p w14:paraId="3595D01A"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Жобада тиімді ақпараттық ағындарды қалыптастыруды, есеп беруді құруды және ұсынуды қамтамасыз етеді;</w:t>
      </w:r>
    </w:p>
    <w:p w14:paraId="4F5D3EF3"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Тапсырыс берушімен тұрақты байланыс жасайды, онда туындаған барлық мәселелерді шешеді және жоба бойынша жұмыстарды сапалы орындау үшін одан барлық қажетті ақпаратты алуды қамтамасыз етеді;</w:t>
      </w:r>
    </w:p>
    <w:p w14:paraId="4744D16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Жоба бойынша жұмыстардың ағымдағы жағдайын бақылайды және талдайды, мүмкін болатын проблемаларды болжайды және түзету әрекеттерін қабылдайды;</w:t>
      </w:r>
    </w:p>
    <w:p w14:paraId="36218607"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Барлық қатысушылардың қызметін үйлестіреді және өзгерістерді бақылайды;</w:t>
      </w:r>
    </w:p>
    <w:p w14:paraId="3F1F83D3"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Жобаның толық және уақтылы жабылуын қамтамасыз етеді.</w:t>
      </w:r>
    </w:p>
    <w:p w14:paraId="371101D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Мақсатқа жету, мақсатқа жету және оған қол жеткізу жөніндегі қызметті ұйымдастыру қажеттілігі көшбасшылардың пайда болуына алып келеді. Бұл феномен 3 адамнан астам формальды емес топтарда көрінеді.</w:t>
      </w:r>
    </w:p>
    <w:p w14:paraId="2280FDFC"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Көшбасшылардың үш түрін бөледі:</w:t>
      </w:r>
    </w:p>
    <w:p w14:paraId="499C74B4"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Вожак-топтың ең беделді мүшесі. Топтың басқа мүшелеріне ол сөзбен әсер етеді.</w:t>
      </w:r>
    </w:p>
    <w:p w14:paraId="1235F429"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Көшбасшы (сөздің тар мағынасында) – жетекшіден кем беделді. Оған сеніммен және ілтипатпен қатар топ мүшелерінің мінез-құлқын жеке мысал ретінде дәлелдеуге тура келеді; әдетте, топ мүшелерінің бір бөлігіне ғана әсер етеді.</w:t>
      </w:r>
    </w:p>
    <w:p w14:paraId="3AE48969"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Ахуалдық көшбасшы-жеке қасиеттерге ие, тек нақты жағдайда ғана маңызды: ұжымдағы салтанатты оқиға, жорық, спорттық іс-шара және т. б.</w:t>
      </w:r>
    </w:p>
    <w:p w14:paraId="6C7843AE"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Көшбасшылар: іскерлік, эмоционалдық, авторитарлық, демократиялық, оң және теріс.</w:t>
      </w:r>
    </w:p>
    <w:p w14:paraId="5CC94F70"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Қойылған міндеттерді іске асыру тәсілі басшылықтың стилі ретінде сипаттауға болады.</w:t>
      </w:r>
    </w:p>
    <w:p w14:paraId="06E531DE" w14:textId="479D5355" w:rsid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30-шы жылдары неміс психологі Курт Левин (АҚШ-та фашистік Германиядан көшіп кеткен) эксперименттер сериясын өткізді және олардың негізінде басшылықтың үш классикалық стилін бөлді: авторитарлық, демократиялық, либералдық.</w:t>
      </w:r>
    </w:p>
    <w:p w14:paraId="09B78F4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Директивалық – авторитарлық) - адамдар өз табиғаты бойынша жалқау, өзіне жауапкершілік алуды және оларды тек қауіп-қатер, жаза және ақша арқылы басқаруға болады деген болжамға негізделеді. Стиль басшылықтың жоғары шоғырлануымен, шешімдер қабылдауға дара басшылық етумен, бағыныштылардың қызметін қатаң бақылаумен сипатталады. Қызметкерлер өздеріне бұйрық бергенін ғана орындауы тиіс. Адамдармен қарым-қатынаста нақты Тіл, әдеттен тыс үн, айқындылық, белсенділік, тіпті дөрекілік басым.</w:t>
      </w:r>
    </w:p>
    <w:p w14:paraId="6200E991"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Істің мүддесі адамдардың мүдделеріне айтарлықтай жоғары қойылады.</w:t>
      </w:r>
    </w:p>
    <w:p w14:paraId="580D37CA"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Алқалық (демократиялық) стиль басшының шешім шығаруға, басшы мен бағынышты адамдар арасында өкілеттіктер мен жауапкершілікті бөлуге ұмтылуымен сипатталады.</w:t>
      </w:r>
    </w:p>
    <w:p w14:paraId="0E22319A"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Маңызды өндірістік проблемалар талқылануда және осының негізінде шешім шығарылады. Басшы бағыныштылар тарапынан бастаманы жан-жақты ынталандырады және көтермелейді.</w:t>
      </w:r>
    </w:p>
    <w:p w14:paraId="50D5A607"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Ол үшін маңызды мәселелер бойынша ұжымды үнемі және уақытында хабардар етеді.</w:t>
      </w:r>
    </w:p>
    <w:p w14:paraId="2F4F4684"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Қарым-қатынас сыпайы және мейірімді жүргізеді.</w:t>
      </w:r>
    </w:p>
    <w:p w14:paraId="0F5105F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xml:space="preserve">Попустительский (либералды) басшының ұжымды басқаруға барынша аз қатысумен сипатталады. Мұндай басшы оған жоғарыдан немесе төменнен қысым көрсететін жағдаймен әрекет ете отырып, істі өз </w:t>
      </w:r>
      <w:r w:rsidRPr="00614751">
        <w:rPr>
          <w:rFonts w:ascii="Times New Roman" w:eastAsia="Times New Roman" w:hAnsi="Times New Roman" w:cs="Times New Roman"/>
          <w:sz w:val="20"/>
          <w:szCs w:val="20"/>
          <w:lang w:eastAsia="ru-RU" w:bidi="ru-RU"/>
        </w:rPr>
        <w:lastRenderedPageBreak/>
        <w:t>бетімен іске қосады. Ол тәуекелге ұшырамауды, өз функциялары мен міндеттерін басқа адамға ауыстыруды қалайды; бағыныштылардың жұмысын ешқашан сынамайды.</w:t>
      </w:r>
    </w:p>
    <w:p w14:paraId="325F215C"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Басшылықтың мұндай стилі қызметкерлер шығармашылық даралығымен ерекшеленетін шығармашылық ұжымдарда болады.</w:t>
      </w:r>
    </w:p>
    <w:p w14:paraId="068FA296"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Алайда, басшылықтың стильдері әрқашан таза күйде бола бермейді. Және олардың ешқайсысы барлық жағдайларда әмбебаптыққа, қолдануға үміткер бола алмайды.</w:t>
      </w:r>
    </w:p>
    <w:p w14:paraId="4F5D1801"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xml:space="preserve">Көптеген зерттеулер алқалық және директивтік басшылықтың өнімділіктің шамамен тең көрсеткіші бар екенін </w:t>
      </w:r>
      <w:proofErr w:type="gramStart"/>
      <w:r w:rsidRPr="00614751">
        <w:rPr>
          <w:rFonts w:ascii="Times New Roman" w:eastAsia="Times New Roman" w:hAnsi="Times New Roman" w:cs="Times New Roman"/>
          <w:sz w:val="20"/>
          <w:szCs w:val="20"/>
          <w:lang w:eastAsia="ru-RU" w:bidi="ru-RU"/>
        </w:rPr>
        <w:t>көрсетті,бірақ</w:t>
      </w:r>
      <w:proofErr w:type="gramEnd"/>
      <w:r w:rsidRPr="00614751">
        <w:rPr>
          <w:rFonts w:ascii="Times New Roman" w:eastAsia="Times New Roman" w:hAnsi="Times New Roman" w:cs="Times New Roman"/>
          <w:sz w:val="20"/>
          <w:szCs w:val="20"/>
          <w:lang w:eastAsia="ru-RU" w:bidi="ru-RU"/>
        </w:rPr>
        <w:t xml:space="preserve"> еңбекке қанағаттанушылық, жеке тұлғаның мүдделері, әрине, алқалық стильде жоғары.</w:t>
      </w:r>
    </w:p>
    <w:p w14:paraId="416EAB17"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 менеджерлері мен Жобаны басқару саласындағы мамандардың құзыреттілігі келесі компоненттермен анықталады: білім; тәжірибе; білік және дағды; этика; кәсіби ойлау бейнесі; іс-әрекеттің кәсіби бейнесі, оның ішінде іс-әрекеттің әдістері мен құралдарын пайдалану.</w:t>
      </w:r>
    </w:p>
    <w:p w14:paraId="4DA66B3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 менеджерінің кәсіби жағдайы және жоба бойынша оның жұмысының сапасы туралы айтуға мүмкіндік беретін талаптар, нормалар мен стандарттар әртүрлі компоненттер үшін әртүрлі түрде белгіленеді. Кәсіби құзыреттілікті анықтау сертификаттық сынақтар арқылы жүргізіледі және әр түрлі елдерде жүргізіледі. Австралияда құзыреттіліктің 7 деңгейі қарастырылған және бағалау бірнеше кезеңде жүргізіледі. АҚШ-та бір құзыреттілік деңгейін қарастырады, ал емтихан бір күннің бірнеше сағат ішінде өткізіледі. 2000 жылдан бастап сертификаттық сынақтар үміткердің жеке қатысуын талап етпейді және уәкілетті ұйымда Internet арқылы қашықтықтан емтихан тапсыру арқылы жүзеге асырылады. Емтиханға жіберу үшін бұрын жіберілген құжаттар негізінде іріктеуден өту керек; іріктеудің негізгі критериясы-ОЖ бойынша кәсіби қызметтің жеткілікті тәжірибесінің болуы.</w:t>
      </w:r>
    </w:p>
    <w:p w14:paraId="046B2ED7"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Жобаның ұйымдық құрылымы тұрақты немесе бас ұйым</w:t>
      </w:r>
    </w:p>
    <w:p w14:paraId="1EF0A12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Тұрақты немесе бас ұйым (Permanent or Parents Organization) – ішінде жоба пайда болған және оның мүддесі үшін жүзеге асырылатын ұйым.</w:t>
      </w:r>
    </w:p>
    <w:p w14:paraId="10626394"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Вакуумда бірде-бір жоба жоқ. Әдетте, ол оны бастамашылық ететін кейбір компанияның мүддесі үшін іске асырылады. Мұндай компания бас, бас немесе бас деп аталады. Тиісінше, компанияда белгілі бір Ұйымдық құрылым бар және жоба қандай да бір түрде оған "қосылады".</w:t>
      </w:r>
    </w:p>
    <w:p w14:paraId="2992F085"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Ұйымдық құрылым-жобаны басқарудың ең маңызды тетігі. Ол жоба алдына қойылған мақсаттарға жету үшін қажетті функциялардың, процестер мен операциялардың барлық жиынтығын іске асыруға мүмкіндік береді.</w:t>
      </w:r>
    </w:p>
    <w:p w14:paraId="0521EA4C"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Функционалдық құрылымы. Ол ұйымның қолданыстағы функционалдық иерархиялық құрылымын пайдалануды көздейді. Жоба менеджері жұмысты жалпы үйлестіруді ғана жүзеге асырады.</w:t>
      </w:r>
    </w:p>
    <w:p w14:paraId="0126202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Жобалау құрылымы. Жобаның жұмыс кешені ұйымның иерархиялық құрылымына қарамастан әзірленеді деп болжайды.</w:t>
      </w:r>
    </w:p>
    <w:p w14:paraId="2EAB668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Матрицалық құрылым. Ол функционалдық және жобалық құрылымдардың артықшылықтарын біріктіретін аралық нысан болып табылады. Матрицалық құрылымның үш түрі бар:</w:t>
      </w:r>
    </w:p>
    <w:p w14:paraId="00885EE0"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жоба басшысы жобалық міндеттерді үйлестіруге жауап беретін, бірақ ресурстарды басқару бойынша шектеулі өкілеттіктері бар әлсіз (жұмсақ) матрица;</w:t>
      </w:r>
    </w:p>
    <w:p w14:paraId="0AAC6798"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күшті (қатты) матрица, жоба жетекшісі барынша жоғары өкілеттілікке ие болған кезде, сонымен қатар жобаның міндеттерін орындауға толық жауап береді.</w:t>
      </w:r>
    </w:p>
    <w:p w14:paraId="130EF47F"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жоба басшысы барлық жұмыстарды үйлестіріп, функционалдық бөлімшелердің басшыларымен мақсатқа қол жеткізу үшін жауапкершілікті бөліскен кезде теңгерілген матрица;</w:t>
      </w:r>
    </w:p>
    <w:p w14:paraId="3FC6714C"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Функционалдық құрылымы. Бүгінгі күні Ресейдегі ең кең тараған құрылым-иерархия болып табылатын функционалдық құрылым болып табылады, онда әрбір қызметші үшін жоғары тұрған бір басшы нақты анықталған. Мұндай құрылым жақсы жолға қойылған циклдік өндіріс үшін оңтайлы, алайда жобаларды орындау кезінде бірқатар қиындықтар туғызады.</w:t>
      </w:r>
    </w:p>
    <w:p w14:paraId="3AF53D30"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Жобалау құрылымы. Мұнда жобалық командалар жобаны орындау кезінде құрылған және жоба жетекшілері басқаратын өзінің уақытша бөлімшелерін құрар еді. Мұндай ұйым кезінде функционалдық бөлімшелер жобаларға қатысты сервистік функцияны орындайды, яғни оларға техникалық қолдау немесе бухгалтерлік қызмет көрсету қызметтерін көрсетеді. Жобалық құрылымда команда мүшелері жобаның мақсаттарына қол жеткізуге ғана бағдарланады және оның басшысына ғана бағынады.</w:t>
      </w:r>
    </w:p>
    <w:p w14:paraId="6D392656"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Осы құрылым ұғымымен (жобалық құрылым) жобаның әкімшілік функцияларын жүзеге асыратын "Жобалық кеңсе" ұғымы тығыз байланысты. Жобалық кеңсенің бірнеше үлгілері бар: Жоба кеңсесі; жобалау кеңсесі; басқарушы комитет</w:t>
      </w:r>
    </w:p>
    <w:p w14:paraId="4480B185"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Матрицалық құрылым. Матрицалық құрылым-функционалдық және жобалық құрылымдар арасындағы келісім. Мұнда қызметкер бір жағынан жоба басшысына, ал екінші жағынан</w:t>
      </w:r>
    </w:p>
    <w:p w14:paraId="182713F6"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өзінің функционалдық басшысына. Олардың қайсысының көп билігіне байланысты әлсіз (жоба жетекшісінің шамалы күші) және күшті немесе қатты (жоба менеджері функционалдық басшыдан жоғары) матрицалар бөлінеді. Жобаның менеджері оның нәтижелеріне, ал функционалдық жетекшісі — өз қызметкерлерінің жұмыс сапасына жауапты теңдестірілген матрица ұсынылады,</w:t>
      </w:r>
    </w:p>
    <w:p w14:paraId="2E357346"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жобаға "іссапарға" жіберілді. Матрицалық құрылымның негізгі минус-қызметкерлердің екі есе бағынуы.</w:t>
      </w:r>
    </w:p>
    <w:p w14:paraId="53941307"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xml:space="preserve">Құрылымның әрбір түрі өз артықшылықтары мен кемшіліктері бар. Матрицалық құрылым ымыралы </w:t>
      </w:r>
      <w:r w:rsidRPr="00614751">
        <w:rPr>
          <w:rFonts w:ascii="Times New Roman" w:eastAsia="Times New Roman" w:hAnsi="Times New Roman" w:cs="Times New Roman"/>
          <w:sz w:val="20"/>
          <w:szCs w:val="20"/>
          <w:lang w:eastAsia="ru-RU" w:bidi="ru-RU"/>
        </w:rPr>
        <w:lastRenderedPageBreak/>
        <w:t>болып табылады, оның түрлерін бизнес жобаларды жүргізуге байланысты компанияларда жиі кездестіруге болады.</w:t>
      </w:r>
    </w:p>
    <w:p w14:paraId="72AAE22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Жобаларды басқарудың ұйымдық құрылымдарын құрудың жалпы принциптері:</w:t>
      </w:r>
    </w:p>
    <w:p w14:paraId="20B23674"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ұйымдық құрылымның жобаға қатысушылардың өзара қарым-қатынасы жүйесіне сәйкестігі.</w:t>
      </w:r>
    </w:p>
    <w:p w14:paraId="6FDFBC9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ұйымдық құрылымның жобаның мазмұнына сәйкестігі.</w:t>
      </w:r>
    </w:p>
    <w:p w14:paraId="7553768C"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ұйымдық құрылымның сыртқы орта талаптарына сәйкестігі.</w:t>
      </w:r>
    </w:p>
    <w:p w14:paraId="1DF7DCF6"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Проблемаларды шешу. Келіссөздер, іскерлік кездесулер</w:t>
      </w:r>
    </w:p>
    <w:p w14:paraId="48E485D6"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Кәсіпорындардың алдында тұрған проблемалар-бұл: тікелей өмір сүру; әріптестерді іздеу; тиімді өндірісті қалыптастыру; қызметкерлердің өндірістік процестерге әлеуметтік тартылуын қамтамасыз ету.</w:t>
      </w:r>
    </w:p>
    <w:p w14:paraId="01EF2CA0"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Тікелей өмір сүру немесе өз шоттары бойынша төлеу қабілеті проблемасы көбінесе кәсіпорын өндірген өнімді сату мүмкін еместігінен туындайды. Бұл проблеманы шешу жөніндегі бірінші кезектегі шараларға мыналар жатады: сату жүйесін күшейту және өнімді нарыққа жылжыту. Бұл шара жиналған артық өнімді сатуға және қосымша айналым қаражатын алуға мүмкіндік береді.</w:t>
      </w:r>
    </w:p>
    <w:p w14:paraId="4F8FAD59"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Өнімді нарыққа жылжыту: клиенттермен жұмыс істеу; икемді баға саясаты; дилерлік желі құру; клиенттерді тарту бойынша жұмысты экономикалық ынталандыру.</w:t>
      </w:r>
    </w:p>
    <w:p w14:paraId="55FA0427"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Клиенттермен, әсіресе ірі, олардың қажеттілігін барынша анықтап және қанағаттандыра отырып, жергілікті жерлерде жұмыс істеу керек.</w:t>
      </w:r>
    </w:p>
    <w:p w14:paraId="737E2E5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Икемді баға саясаты-заманауи бәсекелестік күрестің міндетті құралы. Икемді баға саясаты әр клиентке қызмет көрсету мен сапаның оңтайлы деңгейін алуға мүмкіндік беретін жеңілдіктер жүйесі болып табылады.</w:t>
      </w:r>
    </w:p>
    <w:p w14:paraId="4AC3FE0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Делдалдық желі - қызметтерді бөлу арналарын құру-қазіргі заманғы бизнестің қажетті шарасы болып табылады.</w:t>
      </w:r>
    </w:p>
    <w:p w14:paraId="5BF5C86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Клиенттерді тарту бойынша жұмысты экономикалық ынталандыру кәсіпорын мен қызметкерлердің мүдделерін келісуге әкеледі.</w:t>
      </w:r>
    </w:p>
    <w:p w14:paraId="7F153003"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Серіктестерді тарту кезінде екі стратегия пайдаланылуы мүмкін:</w:t>
      </w:r>
    </w:p>
    <w:p w14:paraId="6ADFF02D"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1. Тұрақты, сенімді және сенімді серіктестерді іздеу;</w:t>
      </w:r>
    </w:p>
    <w:p w14:paraId="2C0DEFC0"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2. Осы нарық конъектурасында неғұрлым қолайлы серіктестерді іздеу.</w:t>
      </w:r>
    </w:p>
    <w:p w14:paraId="2DB366E7"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Тиімді бизнесті қалыптастыру проблемасы бар мүмкіндіктерді тиімді пайдалануды және жаңа мүмкіндіктерді тиімді іздестіруді қамтиды.</w:t>
      </w:r>
    </w:p>
    <w:p w14:paraId="7992C090" w14:textId="567F70B3"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Қолда бар мүмкіндіктерді тиімді пайдалану проблемасы өндірістік процесті ұтымды ұйымдастыру арқылы шешіледі. Өндірістік процесті ұтымды ұйымдастыру жөніндегі шаралар мыналарды: тік ұйымдық құрылымды; тік интеграцияны; ауқымда үнемдеуді пайдалануды қамтиды.</w:t>
      </w:r>
    </w:p>
    <w:p w14:paraId="4AEB02BE"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Тік Ұйымдық құрылым - формальды иерархияға негізделген қатынастарды көздейтін Ұйымдық құрылым.</w:t>
      </w:r>
    </w:p>
    <w:p w14:paraId="34D5170E"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Көлденең Ұйымдық құрылым-формалды емес байланыстарға, мысалы, ортақ мүдделерге, мақсаттарға, проблемаларға негізделген қатынастарды көздейтін Ұйымдық құрылым. Ол бір дәрежелі адамдарға есептелген, сондықтан бір қызметкер тарапынан формальды бұйрық басқа адамға мүмкін емес.</w:t>
      </w:r>
    </w:p>
    <w:p w14:paraId="6DE23A5E"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Өндірістік циклдің бойымен Интеграция масштабта, транзакциялық шығындарда үнемдеуге мүмкіндік береді. Тік ұйымдық құрылымға тік интеграция, масштабтағы үнемдеу және баға бойынша бәсекелестік неғұрлым барабар.</w:t>
      </w:r>
    </w:p>
    <w:p w14:paraId="1AE61087"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Жаңа мүмкіндіктерді тиімді пайдалану және іздеу: көлденең ұйымдық құрылымдарға; көлденең интеграцияға; өзгерістерге бейімделуге және жаңа мүмкіндіктерді іздеуге; сапамен бәсекелестікке; тәжірибені шоғырландыруға негізделеді.</w:t>
      </w:r>
    </w:p>
    <w:p w14:paraId="0714BF9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Көлденең ұйымдық құрылымдар ұйымға қызметкерлерді шешімдерді қалыптастыру процесіне тарту арқылы ақпараттың үлкен көлемін өңдеуге мүмкіндік береді.</w:t>
      </w:r>
    </w:p>
    <w:p w14:paraId="4206042E"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Бәсекелестік түрі-бәсекелестік күрестің негізгі факторы. Бәсекелестік түрлері, мысалы, баға, сапа және сервис бәсекелестігі болып табылады.</w:t>
      </w:r>
    </w:p>
    <w:p w14:paraId="7BDB1EC4"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Көлденең интеграция нарықтың конъектурасына байланысты қызметтердің параллель түрлерінің белгілі бір түріне көшуге мүмкіндік береді.</w:t>
      </w:r>
    </w:p>
    <w:p w14:paraId="20383F0A"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Өндірістің тиімділігін арттыру проблемасы қызметшілердің әлеуметтік тартылуы проблемасында өз жалғасын табады.</w:t>
      </w:r>
    </w:p>
    <w:p w14:paraId="28D72399"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Қызметкерлердің әлеуметтік тартылуы: қызметкерлерді өндіріс процесіне тартуға; тік ұйымдық құрылымдардың инерттілігі мен формалылығы салдарынан туындайтын проблемалардың бір бөлігін шешуге; тәжірибені шоғырландыру процесін жеделдетуге мүмкіндік береді.</w:t>
      </w:r>
    </w:p>
    <w:p w14:paraId="607D6A90"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Қазіргі уақытта көптеген кәсіпорындардың мемлекеттік және коммерциялық секторда клиенттері бар. Мемлекеттік тапсырысты орындау мен коммерциялық сұранысты қанағаттандыру арасындағы синергетикалық әсерлерге бағдарлау қосымша бәсекелестік артықшылықтарды алуға мүмкіндік береді: өнімнің өзіндік құны мен ең жақсы сапасы.</w:t>
      </w:r>
    </w:p>
    <w:p w14:paraId="466E092D"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Жобаға қатысушы бірнеше тараптар қатысатын туындайтын проблемаларды іздеу және шешу үшін қабылданған келіссөздер, іскерлік кездесулер.</w:t>
      </w:r>
    </w:p>
    <w:p w14:paraId="0662EEA6"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Іскерлік серіктеспен қарым-қатынас жасай білу, басқа адамның психологиясын, басқа ұйымның мүдделерін түсіну келіссөздерді жүргізу процесінде айқындаушы факторлардың бірі деп санауға болады.</w:t>
      </w:r>
    </w:p>
    <w:p w14:paraId="1C6A0DF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xml:space="preserve">Іскерлік әңгіме және келіссөздер ауызша түрде жүзеге асырылады (ағылш. verbal-ауызша, ауызша). Бұл қарым-қатынасқа қатысушылардан тек сауаттылықты ғана емес, сонымен қатар сөйлеу қарым-қатынас әдетін </w:t>
      </w:r>
      <w:r w:rsidRPr="00614751">
        <w:rPr>
          <w:rFonts w:ascii="Times New Roman" w:eastAsia="Times New Roman" w:hAnsi="Times New Roman" w:cs="Times New Roman"/>
          <w:sz w:val="20"/>
          <w:szCs w:val="20"/>
          <w:lang w:eastAsia="ru-RU" w:bidi="ru-RU"/>
        </w:rPr>
        <w:lastRenderedPageBreak/>
        <w:t>сақтауды талап етеді.</w:t>
      </w:r>
    </w:p>
    <w:p w14:paraId="2BA70816"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Келіссөздер жүргізу. Іскерлік келіссөздер жүргізу кезінде менеджмент практикасында мынадай негізгі әдістер қолданылады: Вариациялық әдіс; интеграциялау әдісі; теңдестіру әдісі; ымыралық әдіс. Келіссөздер жүргізудің келтірілген әдістері жалпы сипатқа ие. Олардың қолданылуын нақтылайтын және нақтылайтын бірқатар тәсілдер, әдістер мен қағидаттар бар.</w:t>
      </w:r>
    </w:p>
    <w:p w14:paraId="41EE0CC8"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Стандарттар мен нормалар. Құқықтық (құқықтық) аспектілер</w:t>
      </w:r>
    </w:p>
    <w:p w14:paraId="646D37DC"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Стандарт-бұл басқа ұқсас объектілерді салыстыру үшін бастапқы ретінде алынатын үлгі, эталон, үлгі.</w:t>
      </w:r>
    </w:p>
    <w:p w14:paraId="4D04DFA4"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Стандарт әр түрлі сипаттағы материалдық заттарға, нормаларға, ережелер мен талаптарға әзірленеді. Стандарттау кезінде әртүрлі әдістер қолданылады:</w:t>
      </w:r>
    </w:p>
    <w:p w14:paraId="4F0485EC"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нормалау (стандартталатын параметрдің сандық мәніне норманы белгілеу);</w:t>
      </w:r>
    </w:p>
    <w:p w14:paraId="7B92856C"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параметрлеу (параметрдің сандық мәндерінің тізбекті қатарын орнату);</w:t>
      </w:r>
    </w:p>
    <w:p w14:paraId="3F15868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біріздендіру (бірдей мақсаттағы объектілерді орнату және үнемдеуге қол жеткізу мақсатында пайдалану, өзара алмастыруды қамтамасыз ету);</w:t>
      </w:r>
    </w:p>
    <w:p w14:paraId="37D5EFE3"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типтеу (типтік шешімдерді әзірлеу);</w:t>
      </w:r>
    </w:p>
    <w:p w14:paraId="256095F5"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агрегаттау (стандартты элементтердің шектеулі санынан жинақтау жолымен әр түрлі объектілерді құру).</w:t>
      </w:r>
    </w:p>
    <w:p w14:paraId="05659E37"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Аталған әдістер қарапайым объектілерден күрделі жүйелерге дейін стандарттауды жүзеге асыруға мүмкіндік береді.</w:t>
      </w:r>
    </w:p>
    <w:p w14:paraId="26735F07"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Стандарттаудың негізгі міндеттері:</w:t>
      </w:r>
    </w:p>
    <w:p w14:paraId="3311481D"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өнімнің, шикізаттың, материалдардың, жартылай фабрикаттардың, жинақтаушы бұйымдардың техникалық деңгейі мен сапасына қойылатын талаптарды, сондай-ақ оңтайлы сапаны қамтамасыз етуге және түрлердің, маркалар мен үлгілік өлшемдердің ұтымсыз әралуандығын жоюға мүмкіндік беретін өнімді жобалау және өндіру саласындағы нормаларды, талаптар мен әдістерді белгілеу;</w:t>
      </w:r>
    </w:p>
    <w:p w14:paraId="39085FB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өндірістік процестерді кешенді механикаландыру және автоматтандыру өндірісін мамандандырудың маңызды шарты ретінде өнеркәсіптік өнімді біріздендіруді және агрегациялауды дамыту, өзара алмастыру деңгейін арттыру, бұйымдарды пайдалану және жөндеу тиімділігі;</w:t>
      </w:r>
    </w:p>
    <w:p w14:paraId="114BFD5E"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елдегі өлшемдердің бірлігі мен дұрыстығын қамтамасыз ету, физикалық шама бірліктерінің мемлекеттік эталондарын құру және жетілдіру;</w:t>
      </w:r>
    </w:p>
    <w:p w14:paraId="2B43C07D"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-құжаттамалардың біріздендірілген жүйелерін және техникалық-экономикалық ақпаратты кодтауды белгілеу;</w:t>
      </w:r>
    </w:p>
    <w:p w14:paraId="613C3DDF"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ғылым, техника және халық шаруашылығының маңызды салаларында бірыңғай терминдер мен белгілерді белгілеу;</w:t>
      </w:r>
    </w:p>
    <w:p w14:paraId="5F1E7245"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еңбек қауіпсіздігі стандарттарының жүйесін, табиғатты қорғау және табиғи ресурстарды пайдалануды жақсарту саласындағы стандарттар жүйесін белгілеу;</w:t>
      </w:r>
    </w:p>
    <w:p w14:paraId="2E12AE3D"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сыртқы сауда, мәдени және ғылыми-техникалық байланыстар үшін қолайлы жағдай жасау.</w:t>
      </w:r>
    </w:p>
    <w:p w14:paraId="1DB32697"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Стандарттау - бұл қызмет анықтау бойынша нормалар, ережелер және сипаттамаларды қамтамасыз ету мақсатында:</w:t>
      </w:r>
    </w:p>
    <w:p w14:paraId="7CDC2CD1"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қоршаған орта, өмір, денсаулық және мүлік үшін өнімдердің, жұмыстар мен қызметтердің қауіпсіздігі;</w:t>
      </w:r>
    </w:p>
    <w:p w14:paraId="25B0567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өнімнің техникалық және ақпараттық үйлесімділігі, сондай-ақ өзара алмастырылуы;</w:t>
      </w:r>
    </w:p>
    <w:p w14:paraId="78F12B74"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ғылымның, техниканың және технологияның даму деңгейіне сәйкес өнім, жұмыс және қызмет сапасы;</w:t>
      </w:r>
    </w:p>
    <w:p w14:paraId="571CEB63"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өлшем бірлігі;</w:t>
      </w:r>
    </w:p>
    <w:p w14:paraId="0B7F24B0"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ресурстардың барлық түрлерін үнемдеу;</w:t>
      </w:r>
    </w:p>
    <w:p w14:paraId="27AF20BF"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табиғи және техногендік апаттардың және басқа да төтенше жағдайлардың туындау қаупін ескере отырып, шаруашылық объектілерінің қауіпсіздігі;</w:t>
      </w:r>
    </w:p>
    <w:p w14:paraId="04880AB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елдің қорғаныс қабілеті мен жұмылдыру дайындығы.</w:t>
      </w:r>
    </w:p>
    <w:p w14:paraId="720EF0D4"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РФ аумағында әрекет ететін нормативтік құжаттарға РФ мемлекеттік стандарттары, стандарттау бойынша халықаралық (өңірлік) стандарттар, ережелер, нормалар және ұсыныстар, техникалық-экономикалық ақпараттың жалпы ресейлік жіктеуіштері, салалар стандарттары, кәсіпорындар стандарттары, ғылыми - техникалық, инженерлік және басқа да қоғамдық бірлестіктер стандарттары жатады.</w:t>
      </w:r>
    </w:p>
    <w:p w14:paraId="193DF2D9" w14:textId="4239EEA0" w:rsid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Стандарттау жөніндегі нормативтік құжаттар мынадай түрлерге бөлінеді: мемлекеттік стандарттар; салалық стандарттар; ғылыми-техникалық және инженерлік бірлестіктердің стандарттары; техникалық шарттар; кәсіпорындардың стандарттары.</w:t>
      </w:r>
    </w:p>
    <w:p w14:paraId="1C8C60FA"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Мемлекеттік стандарттар ұйымдық - әдістемелік және жалпы техникалық объектілерге әзірленеді, атап айтқанда:</w:t>
      </w:r>
    </w:p>
    <w:p w14:paraId="50710B6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стандарттау бойынша жұмыстарды жүргізуді ұйымдастыру, ғылыми-техникалық терминология, техникалық-экономикалық ақпаратты жіктеу және кодтау, техникалық құжаттама, Ақпараттық технологиялар, метрологиялық жұмыстарды ұйымдастыру, материалдар мен заттардың қасиеттері туралы нақты анықтамалық деректер;</w:t>
      </w:r>
    </w:p>
    <w:p w14:paraId="1BCFF558"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өнімге общемашиностроительного қолдану;</w:t>
      </w:r>
    </w:p>
    <w:p w14:paraId="1403F2E9"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мемлекеттік маңызы бар халық шаруашылығы объектілерінің құрамдас элементтері (көлік, байланыс, энергия жүйесі және т. б.).);</w:t>
      </w:r>
    </w:p>
    <w:p w14:paraId="768A821F"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салааралық мақсаттағы өнім;</w:t>
      </w:r>
    </w:p>
    <w:p w14:paraId="3AAEE948"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халық және халық шаруашылығына арналған өнімдер;</w:t>
      </w:r>
    </w:p>
    <w:p w14:paraId="6338391C"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lastRenderedPageBreak/>
        <w:t>- сынау әдістері.</w:t>
      </w:r>
    </w:p>
    <w:p w14:paraId="7EF3CBB9"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Мемлекеттік стандарттар міндетті және ұсынымдық талаптарды қамтиды.</w:t>
      </w:r>
    </w:p>
    <w:p w14:paraId="69DB6F44"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Міндетті жатады:</w:t>
      </w:r>
    </w:p>
    <w:p w14:paraId="224875AC"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азаматтардың өмірі, денсаулығы және мүлкі үшін өнімнің қауіпсіздігін, оның үйлесімділігі мен өзара алмасуын, қоршаған ортаны қорғауды қамтамасыз ететін талаптар және осы көрсеткіштерді сынау әдістеріне қойылатын талаптар;</w:t>
      </w:r>
    </w:p>
    <w:p w14:paraId="50D70586"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қауіпсіздік техникасының талаптары мен еңбек гигиенасы сілтеме жасап, тиісті санитарлық нормалар мен ережелер;</w:t>
      </w:r>
    </w:p>
    <w:p w14:paraId="63FBCECD"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метрологиялық нормалар, ережелер, талаптар және өлшеу дәлдігін қамтамасыз ететін ережелер;</w:t>
      </w:r>
    </w:p>
    <w:p w14:paraId="4E39889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өнімді әзірлеу, дайындау, пайдалану кезінде техникалық үйлесімділікті қамтамасыз ететін ережелер.</w:t>
      </w:r>
    </w:p>
    <w:p w14:paraId="103A7F00"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Ғылыми-техникалық және инженерлік бірлестіктердің стандарттары кәсіби мүдделер саласындағы іргелі зерттеулердің нәтижелерін кеңейту қажет болған жағдайда әзірленеді. Бұл стандарттар ерікті келісім негізінде пайдаланылуы мүмкін.</w:t>
      </w:r>
    </w:p>
    <w:p w14:paraId="2F26CA90"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Кәсіпорындардың техникалық шарттары мен стандарттары өнім беруші (әзірлеуші, өндіруші) мен өнім тұтынушы (Тапсырыс беруші) арасындағы қатынастарды реттейтін талаптарды қамтиды.</w:t>
      </w:r>
    </w:p>
    <w:p w14:paraId="7E35CC8D"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Жобаларды басқару бойынша ішкі стандарт, ең алдымен, ұйымның барлық қызметкерлері жобаларды басқару жүйесінің негізгі принциптері мен идеяларын бірдей түсінуі үшін қажет. Стандарт ұйымдағы басқару процестерін сипаттайтын негізгі құжат болып табылады. Ол жоба басшысының ұйымның құрылымындағы басқа да функционалдық бөлімшелермен өзара іс-қимыл схемасын анықтайды.</w:t>
      </w:r>
    </w:p>
    <w:p w14:paraId="70F5400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 бірегей, сондықтан ішкі стандарттар стереотипті емес. Жобаны басқарудың жекелеген аспектілері халықаралық стандарттармен реттеледі. Мәселен, сапа менеджменті және жобалардағы конфигурацияны басқару жөніндегі негізгі халықаралық стандарттар ISO 9000:2000, 10005, 10006, 10007 және басқалары болып табылады, олар бірқатар елдерде ұлттық стандарттар түрінде де қабылданған.</w:t>
      </w:r>
    </w:p>
    <w:p w14:paraId="0BA6EBE5"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val="en-US" w:eastAsia="ru-RU" w:bidi="ru-RU"/>
        </w:rPr>
      </w:pPr>
      <w:r w:rsidRPr="00614751">
        <w:rPr>
          <w:rFonts w:ascii="Times New Roman" w:eastAsia="Times New Roman" w:hAnsi="Times New Roman" w:cs="Times New Roman"/>
          <w:sz w:val="20"/>
          <w:szCs w:val="20"/>
          <w:lang w:eastAsia="ru-RU" w:bidi="ru-RU"/>
        </w:rPr>
        <w:t>Мұндай</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стандарттардың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мысалдары</w:t>
      </w:r>
      <w:r w:rsidRPr="00614751">
        <w:rPr>
          <w:rFonts w:ascii="Times New Roman" w:eastAsia="Times New Roman" w:hAnsi="Times New Roman" w:cs="Times New Roman"/>
          <w:sz w:val="20"/>
          <w:szCs w:val="20"/>
          <w:lang w:val="en-US" w:eastAsia="ru-RU" w:bidi="ru-RU"/>
        </w:rPr>
        <w:t xml:space="preserve">: ISO/IEC 12207, Information Technology - Software Life Cycle Processes (1995); ISO/IEC TR 15271, Information Technology - Guide for ISO/IEC 12207 (1998); ISO/IEC 15288 CD2, Life Cycle Management - System Life Cycle processes (2000) </w:t>
      </w:r>
      <w:r w:rsidRPr="00614751">
        <w:rPr>
          <w:rFonts w:ascii="Times New Roman" w:eastAsia="Times New Roman" w:hAnsi="Times New Roman" w:cs="Times New Roman"/>
          <w:sz w:val="20"/>
          <w:szCs w:val="20"/>
          <w:lang w:eastAsia="ru-RU" w:bidi="ru-RU"/>
        </w:rPr>
        <w:t>және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б</w:t>
      </w:r>
      <w:r w:rsidRPr="00614751">
        <w:rPr>
          <w:rFonts w:ascii="Times New Roman" w:eastAsia="Times New Roman" w:hAnsi="Times New Roman" w:cs="Times New Roman"/>
          <w:sz w:val="20"/>
          <w:szCs w:val="20"/>
          <w:lang w:val="en-US" w:eastAsia="ru-RU" w:bidi="ru-RU"/>
        </w:rPr>
        <w:t>.</w:t>
      </w:r>
    </w:p>
    <w:p w14:paraId="1DB47A73"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val="en-US" w:eastAsia="ru-RU" w:bidi="ru-RU"/>
        </w:rPr>
      </w:pPr>
      <w:r w:rsidRPr="00614751">
        <w:rPr>
          <w:rFonts w:ascii="Times New Roman" w:eastAsia="Times New Roman" w:hAnsi="Times New Roman" w:cs="Times New Roman"/>
          <w:sz w:val="20"/>
          <w:szCs w:val="20"/>
          <w:lang w:eastAsia="ru-RU" w:bidi="ru-RU"/>
        </w:rPr>
        <w:t>Де</w:t>
      </w:r>
      <w:r w:rsidRPr="00614751">
        <w:rPr>
          <w:rFonts w:ascii="Times New Roman" w:eastAsia="Times New Roman" w:hAnsi="Times New Roman" w:cs="Times New Roman"/>
          <w:sz w:val="20"/>
          <w:szCs w:val="20"/>
          <w:lang w:val="en-US" w:eastAsia="ru-RU" w:bidi="ru-RU"/>
        </w:rPr>
        <w:t>-</w:t>
      </w:r>
      <w:r w:rsidRPr="00614751">
        <w:rPr>
          <w:rFonts w:ascii="Times New Roman" w:eastAsia="Times New Roman" w:hAnsi="Times New Roman" w:cs="Times New Roman"/>
          <w:sz w:val="20"/>
          <w:szCs w:val="20"/>
          <w:lang w:eastAsia="ru-RU" w:bidi="ru-RU"/>
        </w:rPr>
        <w:t>факто</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стандарты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кем</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дегенде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жобаларды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басқару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терминологиясы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саласында</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қазір</w:t>
      </w:r>
      <w:r w:rsidRPr="00614751">
        <w:rPr>
          <w:rFonts w:ascii="Times New Roman" w:eastAsia="Times New Roman" w:hAnsi="Times New Roman" w:cs="Times New Roman"/>
          <w:sz w:val="20"/>
          <w:szCs w:val="20"/>
          <w:lang w:val="en-US" w:eastAsia="ru-RU" w:bidi="ru-RU"/>
        </w:rPr>
        <w:t xml:space="preserve"> ProjectManagement Body of Knowledge (</w:t>
      </w:r>
      <w:r w:rsidRPr="00614751">
        <w:rPr>
          <w:rFonts w:ascii="Times New Roman" w:eastAsia="Times New Roman" w:hAnsi="Times New Roman" w:cs="Times New Roman"/>
          <w:sz w:val="20"/>
          <w:szCs w:val="20"/>
          <w:lang w:eastAsia="ru-RU" w:bidi="ru-RU"/>
        </w:rPr>
        <w:t>РМВОК</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стандартына</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сәйкес</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ұйымдастыру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құрылымдарын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жіктеу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болып</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табылады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ол</w:t>
      </w:r>
      <w:r w:rsidRPr="00614751">
        <w:rPr>
          <w:rFonts w:ascii="Times New Roman" w:eastAsia="Times New Roman" w:hAnsi="Times New Roman" w:cs="Times New Roman"/>
          <w:sz w:val="20"/>
          <w:szCs w:val="20"/>
          <w:lang w:val="en-US" w:eastAsia="ru-RU" w:bidi="ru-RU"/>
        </w:rPr>
        <w:t xml:space="preserve"> 1996 </w:t>
      </w:r>
      <w:r w:rsidRPr="00614751">
        <w:rPr>
          <w:rFonts w:ascii="Times New Roman" w:eastAsia="Times New Roman" w:hAnsi="Times New Roman" w:cs="Times New Roman"/>
          <w:sz w:val="20"/>
          <w:szCs w:val="20"/>
          <w:lang w:eastAsia="ru-RU" w:bidi="ru-RU"/>
        </w:rPr>
        <w:t>жылы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стандарттың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алғашқы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шыққан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сәтінен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бастап</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өзгеріссіз</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қалады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Стандарт</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функционалдық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әлсіз</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матрицалық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теңдестірілген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матрицалық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күшті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матрицалық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және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жобалық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орструктураларды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қарастырады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Сондай</w:t>
      </w:r>
      <w:r w:rsidRPr="00614751">
        <w:rPr>
          <w:rFonts w:ascii="Times New Roman" w:eastAsia="Times New Roman" w:hAnsi="Times New Roman" w:cs="Times New Roman"/>
          <w:sz w:val="20"/>
          <w:szCs w:val="20"/>
          <w:lang w:val="en-US" w:eastAsia="ru-RU" w:bidi="ru-RU"/>
        </w:rPr>
        <w:t>-</w:t>
      </w:r>
      <w:r w:rsidRPr="00614751">
        <w:rPr>
          <w:rFonts w:ascii="Times New Roman" w:eastAsia="Times New Roman" w:hAnsi="Times New Roman" w:cs="Times New Roman"/>
          <w:sz w:val="20"/>
          <w:szCs w:val="20"/>
          <w:lang w:eastAsia="ru-RU" w:bidi="ru-RU"/>
        </w:rPr>
        <w:t>ақ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жағдайды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талдау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матрицасы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өзгеріссіз</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қалады</w:t>
      </w:r>
    </w:p>
    <w:p w14:paraId="2FCA417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val="en-US" w:eastAsia="ru-RU" w:bidi="ru-RU"/>
        </w:rPr>
      </w:pPr>
      <w:r w:rsidRPr="00614751">
        <w:rPr>
          <w:rFonts w:ascii="Times New Roman" w:eastAsia="Times New Roman" w:hAnsi="Times New Roman" w:cs="Times New Roman"/>
          <w:sz w:val="20"/>
          <w:szCs w:val="20"/>
          <w:lang w:val="en-US" w:eastAsia="ru-RU" w:bidi="ru-RU"/>
        </w:rPr>
        <w:t>"</w:t>
      </w:r>
      <w:r w:rsidRPr="00614751">
        <w:rPr>
          <w:rFonts w:ascii="Times New Roman" w:eastAsia="Times New Roman" w:hAnsi="Times New Roman" w:cs="Times New Roman"/>
          <w:sz w:val="20"/>
          <w:szCs w:val="20"/>
          <w:lang w:eastAsia="ru-RU" w:bidi="ru-RU"/>
        </w:rPr>
        <w:t>жоба</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менеджерінің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өкілеттігі</w:t>
      </w:r>
      <w:r w:rsidRPr="00614751">
        <w:rPr>
          <w:rFonts w:ascii="Times New Roman" w:eastAsia="Times New Roman" w:hAnsi="Times New Roman" w:cs="Times New Roman"/>
          <w:sz w:val="20"/>
          <w:szCs w:val="20"/>
          <w:lang w:val="en-US" w:eastAsia="ru-RU" w:bidi="ru-RU"/>
        </w:rPr>
        <w:t>-</w:t>
      </w:r>
      <w:r w:rsidRPr="00614751">
        <w:rPr>
          <w:rFonts w:ascii="Times New Roman" w:eastAsia="Times New Roman" w:hAnsi="Times New Roman" w:cs="Times New Roman"/>
          <w:sz w:val="20"/>
          <w:szCs w:val="20"/>
          <w:lang w:eastAsia="ru-RU" w:bidi="ru-RU"/>
        </w:rPr>
        <w:t>ұйымдастыру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құрылымының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түрі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Екінші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жағынан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тақырыпқа</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арналған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басылымдар</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іс</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жүзінде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сипатталмаған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РМВОК</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стандарттарында</w:t>
      </w:r>
      <w:r w:rsidRPr="00614751">
        <w:rPr>
          <w:rFonts w:ascii="Times New Roman" w:eastAsia="Times New Roman" w:hAnsi="Times New Roman" w:cs="Times New Roman"/>
          <w:sz w:val="20"/>
          <w:szCs w:val="20"/>
          <w:lang w:val="en-US" w:eastAsia="ru-RU" w:bidi="ru-RU"/>
        </w:rPr>
        <w:t xml:space="preserve"> – </w:t>
      </w:r>
      <w:r w:rsidRPr="00614751">
        <w:rPr>
          <w:rFonts w:ascii="Times New Roman" w:eastAsia="Times New Roman" w:hAnsi="Times New Roman" w:cs="Times New Roman"/>
          <w:sz w:val="20"/>
          <w:szCs w:val="20"/>
          <w:lang w:eastAsia="ru-RU" w:bidi="ru-RU"/>
        </w:rPr>
        <w:t>уақыт</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бірлігінде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біреуден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артық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жобаны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басқарумен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немесе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қолдаумен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айналысатын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құрылым</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ретінде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жобалық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кеңсені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құру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тақырыбы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пайда</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болды</w:t>
      </w:r>
      <w:r w:rsidRPr="00614751">
        <w:rPr>
          <w:rFonts w:ascii="Times New Roman" w:eastAsia="Times New Roman" w:hAnsi="Times New Roman" w:cs="Times New Roman"/>
          <w:sz w:val="20"/>
          <w:szCs w:val="20"/>
          <w:lang w:val="en-US" w:eastAsia="ru-RU" w:bidi="ru-RU"/>
        </w:rPr>
        <w:t>.</w:t>
      </w:r>
    </w:p>
    <w:p w14:paraId="7D3ECBE5"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val="en-US" w:eastAsia="ru-RU" w:bidi="ru-RU"/>
        </w:rPr>
      </w:pPr>
      <w:r w:rsidRPr="00614751">
        <w:rPr>
          <w:rFonts w:ascii="Times New Roman" w:eastAsia="Times New Roman" w:hAnsi="Times New Roman" w:cs="Times New Roman"/>
          <w:sz w:val="20"/>
          <w:szCs w:val="20"/>
          <w:lang w:eastAsia="ru-RU" w:bidi="ru-RU"/>
        </w:rPr>
        <w:t>Жобаны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басқарудың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заңды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аспектілері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деп</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түсініледі</w:t>
      </w:r>
      <w:r w:rsidRPr="00614751">
        <w:rPr>
          <w:rFonts w:ascii="Times New Roman" w:eastAsia="Times New Roman" w:hAnsi="Times New Roman" w:cs="Times New Roman"/>
          <w:sz w:val="20"/>
          <w:szCs w:val="20"/>
          <w:lang w:val="en-US" w:eastAsia="ru-RU" w:bidi="ru-RU"/>
        </w:rPr>
        <w:t>:</w:t>
      </w:r>
    </w:p>
    <w:p w14:paraId="6D210394"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val="en-US" w:eastAsia="ru-RU" w:bidi="ru-RU"/>
        </w:rPr>
      </w:pP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Келісімшарттарды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құрастырудың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ықтимал</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нұсқалары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келісімшарттарды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дәстүрлі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жасау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және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басқару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келісімшарттары</w:t>
      </w:r>
    </w:p>
    <w:p w14:paraId="26933A7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val="en-US" w:eastAsia="ru-RU" w:bidi="ru-RU"/>
        </w:rPr>
      </w:pP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Жобалау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және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құрылыс</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мердігерлік</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келісім</w:t>
      </w:r>
      <w:r w:rsidRPr="00614751">
        <w:rPr>
          <w:rFonts w:ascii="Times New Roman" w:eastAsia="Times New Roman" w:hAnsi="Times New Roman" w:cs="Times New Roman"/>
          <w:sz w:val="20"/>
          <w:szCs w:val="20"/>
          <w:lang w:val="en-US" w:eastAsia="ru-RU" w:bidi="ru-RU"/>
        </w:rPr>
        <w:t>-</w:t>
      </w:r>
      <w:r w:rsidRPr="00614751">
        <w:rPr>
          <w:rFonts w:ascii="Times New Roman" w:eastAsia="Times New Roman" w:hAnsi="Times New Roman" w:cs="Times New Roman"/>
          <w:sz w:val="20"/>
          <w:szCs w:val="20"/>
          <w:lang w:eastAsia="ru-RU" w:bidi="ru-RU"/>
        </w:rPr>
        <w:t>шарттарға</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заңдық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сараптама</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жүргізу</w:t>
      </w:r>
    </w:p>
    <w:p w14:paraId="793741F1"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val="en-US" w:eastAsia="ru-RU" w:bidi="ru-RU"/>
        </w:rPr>
      </w:pP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Келісім</w:t>
      </w:r>
      <w:r w:rsidRPr="00614751">
        <w:rPr>
          <w:rFonts w:ascii="Times New Roman" w:eastAsia="Times New Roman" w:hAnsi="Times New Roman" w:cs="Times New Roman"/>
          <w:sz w:val="20"/>
          <w:szCs w:val="20"/>
          <w:lang w:val="en-US" w:eastAsia="ru-RU" w:bidi="ru-RU"/>
        </w:rPr>
        <w:t>-</w:t>
      </w:r>
      <w:r w:rsidRPr="00614751">
        <w:rPr>
          <w:rFonts w:ascii="Times New Roman" w:eastAsia="Times New Roman" w:hAnsi="Times New Roman" w:cs="Times New Roman"/>
          <w:sz w:val="20"/>
          <w:szCs w:val="20"/>
          <w:lang w:eastAsia="ru-RU" w:bidi="ru-RU"/>
        </w:rPr>
        <w:t>шарттарды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жасау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стратегиясы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келісім</w:t>
      </w:r>
      <w:r w:rsidRPr="00614751">
        <w:rPr>
          <w:rFonts w:ascii="Times New Roman" w:eastAsia="Times New Roman" w:hAnsi="Times New Roman" w:cs="Times New Roman"/>
          <w:sz w:val="20"/>
          <w:szCs w:val="20"/>
          <w:lang w:val="en-US" w:eastAsia="ru-RU" w:bidi="ru-RU"/>
        </w:rPr>
        <w:t>-</w:t>
      </w:r>
      <w:r w:rsidRPr="00614751">
        <w:rPr>
          <w:rFonts w:ascii="Times New Roman" w:eastAsia="Times New Roman" w:hAnsi="Times New Roman" w:cs="Times New Roman"/>
          <w:sz w:val="20"/>
          <w:szCs w:val="20"/>
          <w:lang w:eastAsia="ru-RU" w:bidi="ru-RU"/>
        </w:rPr>
        <w:t>шартты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қорғау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келісім</w:t>
      </w:r>
      <w:r w:rsidRPr="00614751">
        <w:rPr>
          <w:rFonts w:ascii="Times New Roman" w:eastAsia="Times New Roman" w:hAnsi="Times New Roman" w:cs="Times New Roman"/>
          <w:sz w:val="20"/>
          <w:szCs w:val="20"/>
          <w:lang w:val="en-US" w:eastAsia="ru-RU" w:bidi="ru-RU"/>
        </w:rPr>
        <w:t>-</w:t>
      </w:r>
      <w:r w:rsidRPr="00614751">
        <w:rPr>
          <w:rFonts w:ascii="Times New Roman" w:eastAsia="Times New Roman" w:hAnsi="Times New Roman" w:cs="Times New Roman"/>
          <w:sz w:val="20"/>
          <w:szCs w:val="20"/>
          <w:lang w:eastAsia="ru-RU" w:bidi="ru-RU"/>
        </w:rPr>
        <w:t>шарттарда</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туындайтын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тәуекелдерді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сақтандыру</w:t>
      </w:r>
    </w:p>
    <w:p w14:paraId="57E9C2C5"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val="en-US" w:eastAsia="ru-RU" w:bidi="ru-RU"/>
        </w:rPr>
      </w:pP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Стандарттар</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мен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нормалар</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ұғымдары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олардың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жобаларды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басқарудағы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рөлі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мен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маңызы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Стандарттардың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түрлері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Жоба</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қатысушыларының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өзара</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іс</w:t>
      </w:r>
      <w:r w:rsidRPr="00614751">
        <w:rPr>
          <w:rFonts w:ascii="Times New Roman" w:eastAsia="Times New Roman" w:hAnsi="Times New Roman" w:cs="Times New Roman"/>
          <w:sz w:val="20"/>
          <w:szCs w:val="20"/>
          <w:lang w:val="en-US" w:eastAsia="ru-RU" w:bidi="ru-RU"/>
        </w:rPr>
        <w:t>-</w:t>
      </w:r>
      <w:r w:rsidRPr="00614751">
        <w:rPr>
          <w:rFonts w:ascii="Times New Roman" w:eastAsia="Times New Roman" w:hAnsi="Times New Roman" w:cs="Times New Roman"/>
          <w:sz w:val="20"/>
          <w:szCs w:val="20"/>
          <w:lang w:eastAsia="ru-RU" w:bidi="ru-RU"/>
        </w:rPr>
        <w:t>қимылының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негізі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ретінде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стандарттар</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мен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нормалар</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УП</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қолданыстағы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стандарттардың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мысалдары</w:t>
      </w:r>
    </w:p>
    <w:p w14:paraId="3DE1E219"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val="en-US" w:eastAsia="ru-RU" w:bidi="ru-RU"/>
        </w:rPr>
      </w:pP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Жобаны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құқықтық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қамтамасыз</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ету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түсінігі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Менеджер</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және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жобаның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заңдық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аспектілері</w:t>
      </w:r>
      <w:r w:rsidRPr="00614751">
        <w:rPr>
          <w:rFonts w:ascii="Times New Roman" w:eastAsia="Times New Roman" w:hAnsi="Times New Roman" w:cs="Times New Roman"/>
          <w:sz w:val="20"/>
          <w:szCs w:val="20"/>
          <w:lang w:val="en-US" w:eastAsia="ru-RU" w:bidi="ru-RU"/>
        </w:rPr>
        <w:t>.</w:t>
      </w:r>
    </w:p>
    <w:p w14:paraId="1DABAD74"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val="en-US" w:eastAsia="ru-RU" w:bidi="ru-RU"/>
        </w:rPr>
      </w:pP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Жобаны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жүзеге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асыруда</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құқықтық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негіздерді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пайдалану</w:t>
      </w:r>
      <w:r w:rsidRPr="00614751">
        <w:rPr>
          <w:rFonts w:ascii="Times New Roman" w:eastAsia="Times New Roman" w:hAnsi="Times New Roman" w:cs="Times New Roman"/>
          <w:sz w:val="20"/>
          <w:szCs w:val="20"/>
          <w:lang w:val="en-US" w:eastAsia="ru-RU" w:bidi="ru-RU"/>
        </w:rPr>
        <w:t>.</w:t>
      </w:r>
    </w:p>
    <w:p w14:paraId="5E2A02D8"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val="en-US" w:eastAsia="ru-RU" w:bidi="ru-RU"/>
        </w:rPr>
      </w:pPr>
      <w:r w:rsidRPr="00614751">
        <w:rPr>
          <w:rFonts w:ascii="Times New Roman" w:eastAsia="Times New Roman" w:hAnsi="Times New Roman" w:cs="Times New Roman"/>
          <w:sz w:val="20"/>
          <w:szCs w:val="20"/>
          <w:lang w:eastAsia="ru-RU" w:bidi="ru-RU"/>
        </w:rPr>
        <w:t>Ағылшын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заңнамалық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жүйесіне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шолу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және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халықаралық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заңнаманың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әсері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шетелде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жобаны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басқарудың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заңды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аспектілері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деп</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түсінілетінін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көрсетеді</w:t>
      </w:r>
      <w:r w:rsidRPr="00614751">
        <w:rPr>
          <w:rFonts w:ascii="Times New Roman" w:eastAsia="Times New Roman" w:hAnsi="Times New Roman" w:cs="Times New Roman"/>
          <w:sz w:val="20"/>
          <w:szCs w:val="20"/>
          <w:lang w:val="en-US" w:eastAsia="ru-RU" w:bidi="ru-RU"/>
        </w:rPr>
        <w:t>:</w:t>
      </w:r>
    </w:p>
    <w:p w14:paraId="0CBC1228"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val="en-US" w:eastAsia="ru-RU" w:bidi="ru-RU"/>
        </w:rPr>
      </w:pP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Келісім</w:t>
      </w:r>
      <w:r w:rsidRPr="00614751">
        <w:rPr>
          <w:rFonts w:ascii="Times New Roman" w:eastAsia="Times New Roman" w:hAnsi="Times New Roman" w:cs="Times New Roman"/>
          <w:sz w:val="20"/>
          <w:szCs w:val="20"/>
          <w:lang w:val="en-US" w:eastAsia="ru-RU" w:bidi="ru-RU"/>
        </w:rPr>
        <w:t>-</w:t>
      </w:r>
      <w:r w:rsidRPr="00614751">
        <w:rPr>
          <w:rFonts w:ascii="Times New Roman" w:eastAsia="Times New Roman" w:hAnsi="Times New Roman" w:cs="Times New Roman"/>
          <w:sz w:val="20"/>
          <w:szCs w:val="20"/>
          <w:lang w:eastAsia="ru-RU" w:bidi="ru-RU"/>
        </w:rPr>
        <w:t>шарт</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талаптарын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жасау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келісім</w:t>
      </w:r>
      <w:r w:rsidRPr="00614751">
        <w:rPr>
          <w:rFonts w:ascii="Times New Roman" w:eastAsia="Times New Roman" w:hAnsi="Times New Roman" w:cs="Times New Roman"/>
          <w:sz w:val="20"/>
          <w:szCs w:val="20"/>
          <w:lang w:val="en-US" w:eastAsia="ru-RU" w:bidi="ru-RU"/>
        </w:rPr>
        <w:t>-</w:t>
      </w:r>
      <w:r w:rsidRPr="00614751">
        <w:rPr>
          <w:rFonts w:ascii="Times New Roman" w:eastAsia="Times New Roman" w:hAnsi="Times New Roman" w:cs="Times New Roman"/>
          <w:sz w:val="20"/>
          <w:szCs w:val="20"/>
          <w:lang w:eastAsia="ru-RU" w:bidi="ru-RU"/>
        </w:rPr>
        <w:t>шартты</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орындау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және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келісім</w:t>
      </w:r>
      <w:r w:rsidRPr="00614751">
        <w:rPr>
          <w:rFonts w:ascii="Times New Roman" w:eastAsia="Times New Roman" w:hAnsi="Times New Roman" w:cs="Times New Roman"/>
          <w:sz w:val="20"/>
          <w:szCs w:val="20"/>
          <w:lang w:val="en-US" w:eastAsia="ru-RU" w:bidi="ru-RU"/>
        </w:rPr>
        <w:t>-</w:t>
      </w:r>
      <w:r w:rsidRPr="00614751">
        <w:rPr>
          <w:rFonts w:ascii="Times New Roman" w:eastAsia="Times New Roman" w:hAnsi="Times New Roman" w:cs="Times New Roman"/>
          <w:sz w:val="20"/>
          <w:szCs w:val="20"/>
          <w:lang w:eastAsia="ru-RU" w:bidi="ru-RU"/>
        </w:rPr>
        <w:t>шарт</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бұзылған</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кезде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соттық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қорғау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құралдары</w:t>
      </w:r>
    </w:p>
    <w:p w14:paraId="26113B69"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val="en-US" w:eastAsia="ru-RU" w:bidi="ru-RU"/>
        </w:rPr>
      </w:pP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Құпиялылықтың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заңнамалық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аспектілері</w:t>
      </w:r>
    </w:p>
    <w:p w14:paraId="7E20EB6E"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val="en-US" w:eastAsia="ru-RU" w:bidi="ru-RU"/>
        </w:rPr>
      </w:pP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Кәсіби</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ұқыпсыздыққа</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жұмыс</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берушінің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міндеттемелеріне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жалға</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алушының</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міндеттемелеріне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және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соттық</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қорғау</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құралдарына</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міндетті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түрде</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жүгінудегі</w:t>
      </w:r>
      <w:r w:rsidRPr="00614751">
        <w:rPr>
          <w:rFonts w:ascii="Times New Roman" w:eastAsia="Times New Roman" w:hAnsi="Times New Roman" w:cs="Times New Roman"/>
          <w:sz w:val="20"/>
          <w:szCs w:val="20"/>
          <w:lang w:val="en-US" w:eastAsia="ru-RU" w:bidi="ru-RU"/>
        </w:rPr>
        <w:t xml:space="preserve"> </w:t>
      </w:r>
      <w:r w:rsidRPr="00614751">
        <w:rPr>
          <w:rFonts w:ascii="Times New Roman" w:eastAsia="Times New Roman" w:hAnsi="Times New Roman" w:cs="Times New Roman"/>
          <w:sz w:val="20"/>
          <w:szCs w:val="20"/>
          <w:lang w:eastAsia="ru-RU" w:bidi="ru-RU"/>
        </w:rPr>
        <w:t>ұқыпсыздық</w:t>
      </w:r>
    </w:p>
    <w:p w14:paraId="4FF4D551"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Зияткерлік меншікті сәйкестендіру және қорғау</w:t>
      </w:r>
    </w:p>
    <w:p w14:paraId="3DA6D465" w14:textId="7EA87617" w:rsid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Құқықтық қамтамасыз ету тұрғысынан жобаның түрлі фазалары тек осы фазаға тән құқықтық іс-әрекеттер кешенімен сипатталады. Егер жобаның бастапқы фазасына құқықтық талдау тән рәсім болып табылса, онда іске асыру сатысында елеулі орын құқықтық мониторингке бөлінеді.</w:t>
      </w:r>
    </w:p>
    <w:p w14:paraId="68A10D25"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Келісімшарттар өзіндік жобалар ретінде қаралуы мүмкін. Келісімшарттармен жұмыс істеудің келесі негізгі кезеңдерін атап көрсетуге болады: әлеуетті серіктестерді (контракторларды) таңдау; келісімшарттық құжаттаманы дайындау; келісім-шарттарға келіссөздер және қол қою; келісім-шарттарға өзгерістер енгізу; талаптарды қарау және қақтығыстарды шешу; жұмыстарды аяқтау және келісім-шартты жабу.</w:t>
      </w:r>
    </w:p>
    <w:p w14:paraId="05823942"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 xml:space="preserve">Контракт түрлері. Әртүрлі жіктемелердің арасында негізгі келісім - шарттар мыналар болып табылады: келісім-шартты қолдану саласының (сатып алу-сату, жеткізу, контракциялау; жалдау; мердігерлік; </w:t>
      </w:r>
      <w:r w:rsidRPr="00614751">
        <w:rPr>
          <w:rFonts w:ascii="Times New Roman" w:eastAsia="Times New Roman" w:hAnsi="Times New Roman" w:cs="Times New Roman"/>
          <w:sz w:val="20"/>
          <w:szCs w:val="20"/>
          <w:lang w:eastAsia="ru-RU" w:bidi="ru-RU"/>
        </w:rPr>
        <w:lastRenderedPageBreak/>
        <w:t>сақтандыру; есеп айырысу және кредит беру; тапсырмалар; қызметкерлерді жалдау және т. б.) мазмұны бойынша; жобаға қатысушылар арасында функциялар мен жауапкершілікті бөлу бойынша (дәстүрлі, Тапсырыс беруші мен бас мердігер арасында дайын Жоба бойынша объектінің құрылысы туралы; жобалау-құрылыс, жобалау және салу үшін бас мердігердің жауапкершілігі; жобалау, салу және пайдалануға беру үшін бас мердігердің толық жауапкершілігімен; жоба менеджері немесе құрылысты басқарушы жобалау мен құрылысты басқару функцияларын өзіне алған басқарушылық; келісім-шарт бағасын айқындау тәсілі бойынша (қатты бағамен келісім-шарттар; өнім бірлігінің тіркелген бағасы бар келісім-шарттар; Орындаушының нақты шығындарына тең бағамен келісім-шарттар қосу тіркелген пайыз; Орындаушының нақты шығындарына тең бағамен келісім-шарттар қосу тіркелген қосымша ақы; жоба менеджері немесе құрылысты басқарушы; нақты шығындар аяқталғаннан кейін бағаны анықтауға арналған келісім-шарттар; кепілді ең жоғары төлеммен жасалған келісім-шарттар).</w:t>
      </w:r>
    </w:p>
    <w:p w14:paraId="6FDB5345"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Шарт жобалардың ажырамас бөлігі болып табылады. Құрылымдық шарт шартты түрде төрт бөлікке бөлінуі мүмкін: кіріспе (немесе кіріспе бөлігі); шарттың мәні; шарттың қосымша талаптары; Шарттың өзге де талаптары.</w:t>
      </w:r>
    </w:p>
    <w:p w14:paraId="4C16640B"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Жобаның жарғысы (рroject charter) - жобаның ең "мифологиялық" жұмыс құжаттарының бірі. Бұл құжатты сипаттау 2000 және 1996 жылғы редакциялардағы PMI – PMBOK негізгі стандарттарында, жобаларды басқару саласындағы ресейлік және шетелдік сарапшылардың осы құжаттың мақсаты мен мазмұнын түсіндіру байлығымен ақталады.</w:t>
      </w:r>
    </w:p>
    <w:p w14:paraId="1208DC15"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Егер жобалық практикада бар көзқарастарды жинақтаса, онда жоба Жарғысында әртүрлі мамандар, оның ішінде PMBOK бағдарланатын мамандар мыналарды түсінеді: жобаны ашуға өтінім; жобаны ашуға бұйрық; бөлімше туралы ереженің қандай да бір ұқсастығы (мақсаттары, жобаны басқарудың ұйымдық құрылымы, жобалық команда мүшелерінің арасында рөлдер мен жауапкершілікті бөлу); басшылықтан немесе Тапсырыс берушіден жоба менеджеріне техникалық тапсырма; жобаны негіздеу; жобаны басқару жоспарының ұқсастығы; жобаны басқару жоспарының; егер жоба бойынша сыртқы Тапсырыс берушімен/орындаушымен келісімшарт жасалса, онда ол Жарғыны толығымен алмастырады.</w:t>
      </w:r>
    </w:p>
    <w:p w14:paraId="78EFBC2F" w14:textId="77777777" w:rsidR="00614751" w:rsidRP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 жарғысы жобаны анықтауға арналған. Инициализация кезеңінде ол мыналарды қамтиды: бизнес-қажеттіліктерді (проблемаларды, мүмкіндіктерді) құжаттау және осы қажеттіліктерді қанағаттандыратын өнімдер мен қызметтердің жалпы сипаттамасы; Жобаның ұйымның ағымдағы (операциялық) қызметімен байланысы.</w:t>
      </w:r>
    </w:p>
    <w:p w14:paraId="452E13C5" w14:textId="20135DDF" w:rsidR="00614751" w:rsidRDefault="00614751" w:rsidP="00614751">
      <w:pPr>
        <w:widowControl w:val="0"/>
        <w:autoSpaceDE w:val="0"/>
        <w:autoSpaceDN w:val="0"/>
        <w:spacing w:after="0" w:line="240" w:lineRule="auto"/>
        <w:ind w:firstLine="566"/>
        <w:jc w:val="both"/>
        <w:rPr>
          <w:rFonts w:ascii="Times New Roman" w:eastAsia="Times New Roman" w:hAnsi="Times New Roman" w:cs="Times New Roman"/>
          <w:sz w:val="20"/>
          <w:szCs w:val="20"/>
          <w:lang w:eastAsia="ru-RU" w:bidi="ru-RU"/>
        </w:rPr>
      </w:pPr>
      <w:r w:rsidRPr="00614751">
        <w:rPr>
          <w:rFonts w:ascii="Times New Roman" w:eastAsia="Times New Roman" w:hAnsi="Times New Roman" w:cs="Times New Roman"/>
          <w:sz w:val="20"/>
          <w:szCs w:val="20"/>
          <w:lang w:eastAsia="ru-RU" w:bidi="ru-RU"/>
        </w:rPr>
        <w:t>Жоба жарғысына тікелей мынадай деректер немесе тиісті құжаттарға сілтемелер кіреді: жоба шеңберінде құрылатын өнімге бизнес-қажеттіліктер немесе талаптар; жобаның мақсаты немесе Жобаны әзірлеу үшін негіздеме (justification); мүдделі тұлғалардың қажеттіліктері мен күтулері (stakeholders); бақылау оқиғаларының ірілендірілген кестесі; мүдделі тұлғалардың жобаға әсері; функцияларды бөлу (functional organizations); сыртқы ортамен және ішкі ұйымдастыру ортасымен байланысты болжамдар.; сыртқы ортамен және ішкі ұйымдастыру ортасымен байланысты шектеулер; инвестицияларға қайтаруды қамтитын жобаның бизнес-негіздемесі (ROI); ірілендірілген бюджет.</w:t>
      </w:r>
      <w:bookmarkStart w:id="0" w:name="_GoBack"/>
      <w:bookmarkEnd w:id="0"/>
    </w:p>
    <w:sectPr w:rsidR="006147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DF3381"/>
    <w:multiLevelType w:val="hybridMultilevel"/>
    <w:tmpl w:val="2AB8475C"/>
    <w:lvl w:ilvl="0" w:tplc="15085BB4">
      <w:start w:val="10"/>
      <w:numFmt w:val="decimal"/>
      <w:lvlText w:val="(%1)"/>
      <w:lvlJc w:val="left"/>
      <w:pPr>
        <w:ind w:left="399" w:hanging="557"/>
        <w:jc w:val="left"/>
      </w:pPr>
      <w:rPr>
        <w:rFonts w:ascii="Times New Roman" w:eastAsia="Times New Roman" w:hAnsi="Times New Roman" w:cs="Times New Roman" w:hint="default"/>
        <w:spacing w:val="-2"/>
        <w:w w:val="99"/>
        <w:sz w:val="28"/>
        <w:szCs w:val="28"/>
        <w:lang w:val="ru-RU" w:eastAsia="ru-RU" w:bidi="ru-RU"/>
      </w:rPr>
    </w:lvl>
    <w:lvl w:ilvl="1" w:tplc="7E5E80F0">
      <w:start w:val="1"/>
      <w:numFmt w:val="decimal"/>
      <w:lvlText w:val="%2."/>
      <w:lvlJc w:val="left"/>
      <w:pPr>
        <w:ind w:left="399" w:hanging="312"/>
        <w:jc w:val="left"/>
      </w:pPr>
      <w:rPr>
        <w:rFonts w:ascii="Times New Roman" w:eastAsia="Times New Roman" w:hAnsi="Times New Roman" w:cs="Times New Roman" w:hint="default"/>
        <w:i/>
        <w:w w:val="99"/>
        <w:sz w:val="28"/>
        <w:szCs w:val="28"/>
        <w:lang w:val="ru-RU" w:eastAsia="ru-RU" w:bidi="ru-RU"/>
      </w:rPr>
    </w:lvl>
    <w:lvl w:ilvl="2" w:tplc="FAC637D6">
      <w:numFmt w:val="bullet"/>
      <w:lvlText w:val="•"/>
      <w:lvlJc w:val="left"/>
      <w:pPr>
        <w:ind w:left="2348" w:hanging="312"/>
      </w:pPr>
      <w:rPr>
        <w:rFonts w:hint="default"/>
        <w:lang w:val="ru-RU" w:eastAsia="ru-RU" w:bidi="ru-RU"/>
      </w:rPr>
    </w:lvl>
    <w:lvl w:ilvl="3" w:tplc="70F84E38">
      <w:numFmt w:val="bullet"/>
      <w:lvlText w:val="•"/>
      <w:lvlJc w:val="left"/>
      <w:pPr>
        <w:ind w:left="3323" w:hanging="312"/>
      </w:pPr>
      <w:rPr>
        <w:rFonts w:hint="default"/>
        <w:lang w:val="ru-RU" w:eastAsia="ru-RU" w:bidi="ru-RU"/>
      </w:rPr>
    </w:lvl>
    <w:lvl w:ilvl="4" w:tplc="38A6B644">
      <w:numFmt w:val="bullet"/>
      <w:lvlText w:val="•"/>
      <w:lvlJc w:val="left"/>
      <w:pPr>
        <w:ind w:left="4297" w:hanging="312"/>
      </w:pPr>
      <w:rPr>
        <w:rFonts w:hint="default"/>
        <w:lang w:val="ru-RU" w:eastAsia="ru-RU" w:bidi="ru-RU"/>
      </w:rPr>
    </w:lvl>
    <w:lvl w:ilvl="5" w:tplc="D90075A6">
      <w:numFmt w:val="bullet"/>
      <w:lvlText w:val="•"/>
      <w:lvlJc w:val="left"/>
      <w:pPr>
        <w:ind w:left="5272" w:hanging="312"/>
      </w:pPr>
      <w:rPr>
        <w:rFonts w:hint="default"/>
        <w:lang w:val="ru-RU" w:eastAsia="ru-RU" w:bidi="ru-RU"/>
      </w:rPr>
    </w:lvl>
    <w:lvl w:ilvl="6" w:tplc="CA606B92">
      <w:numFmt w:val="bullet"/>
      <w:lvlText w:val="•"/>
      <w:lvlJc w:val="left"/>
      <w:pPr>
        <w:ind w:left="6246" w:hanging="312"/>
      </w:pPr>
      <w:rPr>
        <w:rFonts w:hint="default"/>
        <w:lang w:val="ru-RU" w:eastAsia="ru-RU" w:bidi="ru-RU"/>
      </w:rPr>
    </w:lvl>
    <w:lvl w:ilvl="7" w:tplc="2ACEA450">
      <w:numFmt w:val="bullet"/>
      <w:lvlText w:val="•"/>
      <w:lvlJc w:val="left"/>
      <w:pPr>
        <w:ind w:left="7220" w:hanging="312"/>
      </w:pPr>
      <w:rPr>
        <w:rFonts w:hint="default"/>
        <w:lang w:val="ru-RU" w:eastAsia="ru-RU" w:bidi="ru-RU"/>
      </w:rPr>
    </w:lvl>
    <w:lvl w:ilvl="8" w:tplc="FBEC393C">
      <w:numFmt w:val="bullet"/>
      <w:lvlText w:val="•"/>
      <w:lvlJc w:val="left"/>
      <w:pPr>
        <w:ind w:left="8195" w:hanging="312"/>
      </w:pPr>
      <w:rPr>
        <w:rFonts w:hint="default"/>
        <w:lang w:val="ru-RU" w:eastAsia="ru-RU" w:bidi="ru-RU"/>
      </w:rPr>
    </w:lvl>
  </w:abstractNum>
  <w:abstractNum w:abstractNumId="1" w15:restartNumberingAfterBreak="0">
    <w:nsid w:val="13403B94"/>
    <w:multiLevelType w:val="hybridMultilevel"/>
    <w:tmpl w:val="9D78B544"/>
    <w:lvl w:ilvl="0" w:tplc="832CA1D6">
      <w:numFmt w:val="bullet"/>
      <w:lvlText w:val="-"/>
      <w:lvlJc w:val="left"/>
      <w:pPr>
        <w:ind w:left="1129" w:hanging="164"/>
      </w:pPr>
      <w:rPr>
        <w:rFonts w:ascii="Times New Roman" w:eastAsia="Times New Roman" w:hAnsi="Times New Roman" w:cs="Times New Roman" w:hint="default"/>
        <w:w w:val="99"/>
        <w:sz w:val="28"/>
        <w:szCs w:val="28"/>
        <w:lang w:val="ru-RU" w:eastAsia="ru-RU" w:bidi="ru-RU"/>
      </w:rPr>
    </w:lvl>
    <w:lvl w:ilvl="1" w:tplc="2348CC42">
      <w:numFmt w:val="bullet"/>
      <w:lvlText w:val="•"/>
      <w:lvlJc w:val="left"/>
      <w:pPr>
        <w:ind w:left="2022" w:hanging="164"/>
      </w:pPr>
      <w:rPr>
        <w:rFonts w:hint="default"/>
        <w:lang w:val="ru-RU" w:eastAsia="ru-RU" w:bidi="ru-RU"/>
      </w:rPr>
    </w:lvl>
    <w:lvl w:ilvl="2" w:tplc="ADAC3B02">
      <w:numFmt w:val="bullet"/>
      <w:lvlText w:val="•"/>
      <w:lvlJc w:val="left"/>
      <w:pPr>
        <w:ind w:left="2924" w:hanging="164"/>
      </w:pPr>
      <w:rPr>
        <w:rFonts w:hint="default"/>
        <w:lang w:val="ru-RU" w:eastAsia="ru-RU" w:bidi="ru-RU"/>
      </w:rPr>
    </w:lvl>
    <w:lvl w:ilvl="3" w:tplc="2ED063FA">
      <w:numFmt w:val="bullet"/>
      <w:lvlText w:val="•"/>
      <w:lvlJc w:val="left"/>
      <w:pPr>
        <w:ind w:left="3827" w:hanging="164"/>
      </w:pPr>
      <w:rPr>
        <w:rFonts w:hint="default"/>
        <w:lang w:val="ru-RU" w:eastAsia="ru-RU" w:bidi="ru-RU"/>
      </w:rPr>
    </w:lvl>
    <w:lvl w:ilvl="4" w:tplc="CC521352">
      <w:numFmt w:val="bullet"/>
      <w:lvlText w:val="•"/>
      <w:lvlJc w:val="left"/>
      <w:pPr>
        <w:ind w:left="4729" w:hanging="164"/>
      </w:pPr>
      <w:rPr>
        <w:rFonts w:hint="default"/>
        <w:lang w:val="ru-RU" w:eastAsia="ru-RU" w:bidi="ru-RU"/>
      </w:rPr>
    </w:lvl>
    <w:lvl w:ilvl="5" w:tplc="7E3E8D5C">
      <w:numFmt w:val="bullet"/>
      <w:lvlText w:val="•"/>
      <w:lvlJc w:val="left"/>
      <w:pPr>
        <w:ind w:left="5632" w:hanging="164"/>
      </w:pPr>
      <w:rPr>
        <w:rFonts w:hint="default"/>
        <w:lang w:val="ru-RU" w:eastAsia="ru-RU" w:bidi="ru-RU"/>
      </w:rPr>
    </w:lvl>
    <w:lvl w:ilvl="6" w:tplc="9A123178">
      <w:numFmt w:val="bullet"/>
      <w:lvlText w:val="•"/>
      <w:lvlJc w:val="left"/>
      <w:pPr>
        <w:ind w:left="6534" w:hanging="164"/>
      </w:pPr>
      <w:rPr>
        <w:rFonts w:hint="default"/>
        <w:lang w:val="ru-RU" w:eastAsia="ru-RU" w:bidi="ru-RU"/>
      </w:rPr>
    </w:lvl>
    <w:lvl w:ilvl="7" w:tplc="425C4686">
      <w:numFmt w:val="bullet"/>
      <w:lvlText w:val="•"/>
      <w:lvlJc w:val="left"/>
      <w:pPr>
        <w:ind w:left="7436" w:hanging="164"/>
      </w:pPr>
      <w:rPr>
        <w:rFonts w:hint="default"/>
        <w:lang w:val="ru-RU" w:eastAsia="ru-RU" w:bidi="ru-RU"/>
      </w:rPr>
    </w:lvl>
    <w:lvl w:ilvl="8" w:tplc="F5042E60">
      <w:numFmt w:val="bullet"/>
      <w:lvlText w:val="•"/>
      <w:lvlJc w:val="left"/>
      <w:pPr>
        <w:ind w:left="8339" w:hanging="164"/>
      </w:pPr>
      <w:rPr>
        <w:rFonts w:hint="default"/>
        <w:lang w:val="ru-RU" w:eastAsia="ru-RU" w:bidi="ru-RU"/>
      </w:rPr>
    </w:lvl>
  </w:abstractNum>
  <w:abstractNum w:abstractNumId="2" w15:restartNumberingAfterBreak="0">
    <w:nsid w:val="1F3269CB"/>
    <w:multiLevelType w:val="multilevel"/>
    <w:tmpl w:val="A918706C"/>
    <w:lvl w:ilvl="0">
      <w:start w:val="6"/>
      <w:numFmt w:val="decimal"/>
      <w:lvlText w:val="%1"/>
      <w:lvlJc w:val="left"/>
      <w:pPr>
        <w:ind w:left="611" w:hanging="495"/>
        <w:jc w:val="left"/>
      </w:pPr>
      <w:rPr>
        <w:rFonts w:hint="default"/>
        <w:lang w:val="ru-RU" w:eastAsia="ru-RU" w:bidi="ru-RU"/>
      </w:rPr>
    </w:lvl>
    <w:lvl w:ilvl="1">
      <w:start w:val="1"/>
      <w:numFmt w:val="decimal"/>
      <w:lvlText w:val="%1.%2."/>
      <w:lvlJc w:val="left"/>
      <w:pPr>
        <w:ind w:left="611" w:hanging="495"/>
        <w:jc w:val="left"/>
      </w:pPr>
      <w:rPr>
        <w:rFonts w:ascii="Times New Roman" w:eastAsia="Times New Roman" w:hAnsi="Times New Roman" w:cs="Times New Roman" w:hint="default"/>
        <w:w w:val="99"/>
        <w:sz w:val="28"/>
        <w:szCs w:val="28"/>
        <w:lang w:val="ru-RU" w:eastAsia="ru-RU" w:bidi="ru-RU"/>
      </w:rPr>
    </w:lvl>
    <w:lvl w:ilvl="2">
      <w:start w:val="1"/>
      <w:numFmt w:val="decimal"/>
      <w:lvlText w:val="%3."/>
      <w:lvlJc w:val="left"/>
      <w:pPr>
        <w:ind w:left="399" w:hanging="312"/>
        <w:jc w:val="left"/>
      </w:pPr>
      <w:rPr>
        <w:rFonts w:ascii="Times New Roman" w:eastAsia="Times New Roman" w:hAnsi="Times New Roman" w:cs="Times New Roman" w:hint="default"/>
        <w:w w:val="99"/>
        <w:sz w:val="28"/>
        <w:szCs w:val="28"/>
        <w:lang w:val="ru-RU" w:eastAsia="ru-RU" w:bidi="ru-RU"/>
      </w:rPr>
    </w:lvl>
    <w:lvl w:ilvl="3">
      <w:numFmt w:val="bullet"/>
      <w:lvlText w:val="•"/>
      <w:lvlJc w:val="left"/>
      <w:pPr>
        <w:ind w:left="2736" w:hanging="312"/>
      </w:pPr>
      <w:rPr>
        <w:rFonts w:hint="default"/>
        <w:lang w:val="ru-RU" w:eastAsia="ru-RU" w:bidi="ru-RU"/>
      </w:rPr>
    </w:lvl>
    <w:lvl w:ilvl="4">
      <w:numFmt w:val="bullet"/>
      <w:lvlText w:val="•"/>
      <w:lvlJc w:val="left"/>
      <w:pPr>
        <w:ind w:left="3794" w:hanging="312"/>
      </w:pPr>
      <w:rPr>
        <w:rFonts w:hint="default"/>
        <w:lang w:val="ru-RU" w:eastAsia="ru-RU" w:bidi="ru-RU"/>
      </w:rPr>
    </w:lvl>
    <w:lvl w:ilvl="5">
      <w:numFmt w:val="bullet"/>
      <w:lvlText w:val="•"/>
      <w:lvlJc w:val="left"/>
      <w:pPr>
        <w:ind w:left="4852" w:hanging="312"/>
      </w:pPr>
      <w:rPr>
        <w:rFonts w:hint="default"/>
        <w:lang w:val="ru-RU" w:eastAsia="ru-RU" w:bidi="ru-RU"/>
      </w:rPr>
    </w:lvl>
    <w:lvl w:ilvl="6">
      <w:numFmt w:val="bullet"/>
      <w:lvlText w:val="•"/>
      <w:lvlJc w:val="left"/>
      <w:pPr>
        <w:ind w:left="5911" w:hanging="312"/>
      </w:pPr>
      <w:rPr>
        <w:rFonts w:hint="default"/>
        <w:lang w:val="ru-RU" w:eastAsia="ru-RU" w:bidi="ru-RU"/>
      </w:rPr>
    </w:lvl>
    <w:lvl w:ilvl="7">
      <w:numFmt w:val="bullet"/>
      <w:lvlText w:val="•"/>
      <w:lvlJc w:val="left"/>
      <w:pPr>
        <w:ind w:left="6969" w:hanging="312"/>
      </w:pPr>
      <w:rPr>
        <w:rFonts w:hint="default"/>
        <w:lang w:val="ru-RU" w:eastAsia="ru-RU" w:bidi="ru-RU"/>
      </w:rPr>
    </w:lvl>
    <w:lvl w:ilvl="8">
      <w:numFmt w:val="bullet"/>
      <w:lvlText w:val="•"/>
      <w:lvlJc w:val="left"/>
      <w:pPr>
        <w:ind w:left="8027" w:hanging="312"/>
      </w:pPr>
      <w:rPr>
        <w:rFonts w:hint="default"/>
        <w:lang w:val="ru-RU" w:eastAsia="ru-RU" w:bidi="ru-RU"/>
      </w:rPr>
    </w:lvl>
  </w:abstractNum>
  <w:abstractNum w:abstractNumId="3" w15:restartNumberingAfterBreak="0">
    <w:nsid w:val="2A220A6D"/>
    <w:multiLevelType w:val="hybridMultilevel"/>
    <w:tmpl w:val="3BFCAF46"/>
    <w:lvl w:ilvl="0" w:tplc="91FE302E">
      <w:start w:val="1"/>
      <w:numFmt w:val="decimal"/>
      <w:lvlText w:val="%1."/>
      <w:lvlJc w:val="left"/>
      <w:pPr>
        <w:ind w:left="399" w:hanging="374"/>
        <w:jc w:val="left"/>
      </w:pPr>
      <w:rPr>
        <w:rFonts w:ascii="Times New Roman" w:eastAsia="Times New Roman" w:hAnsi="Times New Roman" w:cs="Times New Roman" w:hint="default"/>
        <w:w w:val="99"/>
        <w:sz w:val="28"/>
        <w:szCs w:val="28"/>
        <w:lang w:val="ru-RU" w:eastAsia="ru-RU" w:bidi="ru-RU"/>
      </w:rPr>
    </w:lvl>
    <w:lvl w:ilvl="1" w:tplc="CC7E9A94">
      <w:numFmt w:val="bullet"/>
      <w:lvlText w:val="•"/>
      <w:lvlJc w:val="left"/>
      <w:pPr>
        <w:ind w:left="1374" w:hanging="374"/>
      </w:pPr>
      <w:rPr>
        <w:rFonts w:hint="default"/>
        <w:lang w:val="ru-RU" w:eastAsia="ru-RU" w:bidi="ru-RU"/>
      </w:rPr>
    </w:lvl>
    <w:lvl w:ilvl="2" w:tplc="84A65732">
      <w:numFmt w:val="bullet"/>
      <w:lvlText w:val="•"/>
      <w:lvlJc w:val="left"/>
      <w:pPr>
        <w:ind w:left="2348" w:hanging="374"/>
      </w:pPr>
      <w:rPr>
        <w:rFonts w:hint="default"/>
        <w:lang w:val="ru-RU" w:eastAsia="ru-RU" w:bidi="ru-RU"/>
      </w:rPr>
    </w:lvl>
    <w:lvl w:ilvl="3" w:tplc="A59A86D0">
      <w:numFmt w:val="bullet"/>
      <w:lvlText w:val="•"/>
      <w:lvlJc w:val="left"/>
      <w:pPr>
        <w:ind w:left="3323" w:hanging="374"/>
      </w:pPr>
      <w:rPr>
        <w:rFonts w:hint="default"/>
        <w:lang w:val="ru-RU" w:eastAsia="ru-RU" w:bidi="ru-RU"/>
      </w:rPr>
    </w:lvl>
    <w:lvl w:ilvl="4" w:tplc="6A826C3A">
      <w:numFmt w:val="bullet"/>
      <w:lvlText w:val="•"/>
      <w:lvlJc w:val="left"/>
      <w:pPr>
        <w:ind w:left="4297" w:hanging="374"/>
      </w:pPr>
      <w:rPr>
        <w:rFonts w:hint="default"/>
        <w:lang w:val="ru-RU" w:eastAsia="ru-RU" w:bidi="ru-RU"/>
      </w:rPr>
    </w:lvl>
    <w:lvl w:ilvl="5" w:tplc="4668883A">
      <w:numFmt w:val="bullet"/>
      <w:lvlText w:val="•"/>
      <w:lvlJc w:val="left"/>
      <w:pPr>
        <w:ind w:left="5272" w:hanging="374"/>
      </w:pPr>
      <w:rPr>
        <w:rFonts w:hint="default"/>
        <w:lang w:val="ru-RU" w:eastAsia="ru-RU" w:bidi="ru-RU"/>
      </w:rPr>
    </w:lvl>
    <w:lvl w:ilvl="6" w:tplc="B79EC69E">
      <w:numFmt w:val="bullet"/>
      <w:lvlText w:val="•"/>
      <w:lvlJc w:val="left"/>
      <w:pPr>
        <w:ind w:left="6246" w:hanging="374"/>
      </w:pPr>
      <w:rPr>
        <w:rFonts w:hint="default"/>
        <w:lang w:val="ru-RU" w:eastAsia="ru-RU" w:bidi="ru-RU"/>
      </w:rPr>
    </w:lvl>
    <w:lvl w:ilvl="7" w:tplc="198ECE50">
      <w:numFmt w:val="bullet"/>
      <w:lvlText w:val="•"/>
      <w:lvlJc w:val="left"/>
      <w:pPr>
        <w:ind w:left="7220" w:hanging="374"/>
      </w:pPr>
      <w:rPr>
        <w:rFonts w:hint="default"/>
        <w:lang w:val="ru-RU" w:eastAsia="ru-RU" w:bidi="ru-RU"/>
      </w:rPr>
    </w:lvl>
    <w:lvl w:ilvl="8" w:tplc="89061FD4">
      <w:numFmt w:val="bullet"/>
      <w:lvlText w:val="•"/>
      <w:lvlJc w:val="left"/>
      <w:pPr>
        <w:ind w:left="8195" w:hanging="374"/>
      </w:pPr>
      <w:rPr>
        <w:rFonts w:hint="default"/>
        <w:lang w:val="ru-RU" w:eastAsia="ru-RU" w:bidi="ru-RU"/>
      </w:rPr>
    </w:lvl>
  </w:abstractNum>
  <w:abstractNum w:abstractNumId="4" w15:restartNumberingAfterBreak="0">
    <w:nsid w:val="34C94232"/>
    <w:multiLevelType w:val="hybridMultilevel"/>
    <w:tmpl w:val="601696BA"/>
    <w:lvl w:ilvl="0" w:tplc="E6C6FD06">
      <w:numFmt w:val="bullet"/>
      <w:lvlText w:val="-"/>
      <w:lvlJc w:val="left"/>
      <w:pPr>
        <w:ind w:left="399" w:hanging="164"/>
      </w:pPr>
      <w:rPr>
        <w:rFonts w:ascii="Times New Roman" w:eastAsia="Times New Roman" w:hAnsi="Times New Roman" w:cs="Times New Roman" w:hint="default"/>
        <w:w w:val="99"/>
        <w:sz w:val="28"/>
        <w:szCs w:val="28"/>
        <w:lang w:val="ru-RU" w:eastAsia="ru-RU" w:bidi="ru-RU"/>
      </w:rPr>
    </w:lvl>
    <w:lvl w:ilvl="1" w:tplc="6764FCCE">
      <w:numFmt w:val="bullet"/>
      <w:lvlText w:val="•"/>
      <w:lvlJc w:val="left"/>
      <w:pPr>
        <w:ind w:left="1374" w:hanging="164"/>
      </w:pPr>
      <w:rPr>
        <w:rFonts w:hint="default"/>
        <w:lang w:val="ru-RU" w:eastAsia="ru-RU" w:bidi="ru-RU"/>
      </w:rPr>
    </w:lvl>
    <w:lvl w:ilvl="2" w:tplc="0DC0EBA2">
      <w:numFmt w:val="bullet"/>
      <w:lvlText w:val="•"/>
      <w:lvlJc w:val="left"/>
      <w:pPr>
        <w:ind w:left="2348" w:hanging="164"/>
      </w:pPr>
      <w:rPr>
        <w:rFonts w:hint="default"/>
        <w:lang w:val="ru-RU" w:eastAsia="ru-RU" w:bidi="ru-RU"/>
      </w:rPr>
    </w:lvl>
    <w:lvl w:ilvl="3" w:tplc="695C5E44">
      <w:numFmt w:val="bullet"/>
      <w:lvlText w:val="•"/>
      <w:lvlJc w:val="left"/>
      <w:pPr>
        <w:ind w:left="3323" w:hanging="164"/>
      </w:pPr>
      <w:rPr>
        <w:rFonts w:hint="default"/>
        <w:lang w:val="ru-RU" w:eastAsia="ru-RU" w:bidi="ru-RU"/>
      </w:rPr>
    </w:lvl>
    <w:lvl w:ilvl="4" w:tplc="AD58B5EE">
      <w:numFmt w:val="bullet"/>
      <w:lvlText w:val="•"/>
      <w:lvlJc w:val="left"/>
      <w:pPr>
        <w:ind w:left="4297" w:hanging="164"/>
      </w:pPr>
      <w:rPr>
        <w:rFonts w:hint="default"/>
        <w:lang w:val="ru-RU" w:eastAsia="ru-RU" w:bidi="ru-RU"/>
      </w:rPr>
    </w:lvl>
    <w:lvl w:ilvl="5" w:tplc="04CC561E">
      <w:numFmt w:val="bullet"/>
      <w:lvlText w:val="•"/>
      <w:lvlJc w:val="left"/>
      <w:pPr>
        <w:ind w:left="5272" w:hanging="164"/>
      </w:pPr>
      <w:rPr>
        <w:rFonts w:hint="default"/>
        <w:lang w:val="ru-RU" w:eastAsia="ru-RU" w:bidi="ru-RU"/>
      </w:rPr>
    </w:lvl>
    <w:lvl w:ilvl="6" w:tplc="57B079B6">
      <w:numFmt w:val="bullet"/>
      <w:lvlText w:val="•"/>
      <w:lvlJc w:val="left"/>
      <w:pPr>
        <w:ind w:left="6246" w:hanging="164"/>
      </w:pPr>
      <w:rPr>
        <w:rFonts w:hint="default"/>
        <w:lang w:val="ru-RU" w:eastAsia="ru-RU" w:bidi="ru-RU"/>
      </w:rPr>
    </w:lvl>
    <w:lvl w:ilvl="7" w:tplc="C2F0EF7A">
      <w:numFmt w:val="bullet"/>
      <w:lvlText w:val="•"/>
      <w:lvlJc w:val="left"/>
      <w:pPr>
        <w:ind w:left="7220" w:hanging="164"/>
      </w:pPr>
      <w:rPr>
        <w:rFonts w:hint="default"/>
        <w:lang w:val="ru-RU" w:eastAsia="ru-RU" w:bidi="ru-RU"/>
      </w:rPr>
    </w:lvl>
    <w:lvl w:ilvl="8" w:tplc="CA78D274">
      <w:numFmt w:val="bullet"/>
      <w:lvlText w:val="•"/>
      <w:lvlJc w:val="left"/>
      <w:pPr>
        <w:ind w:left="8195" w:hanging="164"/>
      </w:pPr>
      <w:rPr>
        <w:rFonts w:hint="default"/>
        <w:lang w:val="ru-RU" w:eastAsia="ru-RU" w:bidi="ru-RU"/>
      </w:rPr>
    </w:lvl>
  </w:abstractNum>
  <w:abstractNum w:abstractNumId="5" w15:restartNumberingAfterBreak="0">
    <w:nsid w:val="3DAC3AF7"/>
    <w:multiLevelType w:val="multilevel"/>
    <w:tmpl w:val="011CF11A"/>
    <w:lvl w:ilvl="0">
      <w:start w:val="2"/>
      <w:numFmt w:val="decimal"/>
      <w:lvlText w:val="%1"/>
      <w:lvlJc w:val="left"/>
      <w:pPr>
        <w:ind w:left="3444" w:hanging="495"/>
        <w:jc w:val="left"/>
      </w:pPr>
      <w:rPr>
        <w:rFonts w:hint="default"/>
        <w:lang w:val="ru-RU" w:eastAsia="ru-RU" w:bidi="ru-RU"/>
      </w:rPr>
    </w:lvl>
    <w:lvl w:ilvl="1">
      <w:start w:val="1"/>
      <w:numFmt w:val="decimal"/>
      <w:lvlText w:val="%1.%2."/>
      <w:lvlJc w:val="left"/>
      <w:pPr>
        <w:ind w:left="3444" w:hanging="495"/>
        <w:jc w:val="right"/>
      </w:pPr>
      <w:rPr>
        <w:rFonts w:ascii="Times New Roman" w:eastAsia="Times New Roman" w:hAnsi="Times New Roman" w:cs="Times New Roman" w:hint="default"/>
        <w:b/>
        <w:bCs/>
        <w:w w:val="99"/>
        <w:sz w:val="28"/>
        <w:szCs w:val="28"/>
        <w:lang w:val="ru-RU" w:eastAsia="ru-RU" w:bidi="ru-RU"/>
      </w:rPr>
    </w:lvl>
    <w:lvl w:ilvl="2">
      <w:numFmt w:val="bullet"/>
      <w:lvlText w:val="•"/>
      <w:lvlJc w:val="left"/>
      <w:pPr>
        <w:ind w:left="4780" w:hanging="495"/>
      </w:pPr>
      <w:rPr>
        <w:rFonts w:hint="default"/>
        <w:lang w:val="ru-RU" w:eastAsia="ru-RU" w:bidi="ru-RU"/>
      </w:rPr>
    </w:lvl>
    <w:lvl w:ilvl="3">
      <w:numFmt w:val="bullet"/>
      <w:lvlText w:val="•"/>
      <w:lvlJc w:val="left"/>
      <w:pPr>
        <w:ind w:left="5451" w:hanging="495"/>
      </w:pPr>
      <w:rPr>
        <w:rFonts w:hint="default"/>
        <w:lang w:val="ru-RU" w:eastAsia="ru-RU" w:bidi="ru-RU"/>
      </w:rPr>
    </w:lvl>
    <w:lvl w:ilvl="4">
      <w:numFmt w:val="bullet"/>
      <w:lvlText w:val="•"/>
      <w:lvlJc w:val="left"/>
      <w:pPr>
        <w:ind w:left="6121" w:hanging="495"/>
      </w:pPr>
      <w:rPr>
        <w:rFonts w:hint="default"/>
        <w:lang w:val="ru-RU" w:eastAsia="ru-RU" w:bidi="ru-RU"/>
      </w:rPr>
    </w:lvl>
    <w:lvl w:ilvl="5">
      <w:numFmt w:val="bullet"/>
      <w:lvlText w:val="•"/>
      <w:lvlJc w:val="left"/>
      <w:pPr>
        <w:ind w:left="6792" w:hanging="495"/>
      </w:pPr>
      <w:rPr>
        <w:rFonts w:hint="default"/>
        <w:lang w:val="ru-RU" w:eastAsia="ru-RU" w:bidi="ru-RU"/>
      </w:rPr>
    </w:lvl>
    <w:lvl w:ilvl="6">
      <w:numFmt w:val="bullet"/>
      <w:lvlText w:val="•"/>
      <w:lvlJc w:val="left"/>
      <w:pPr>
        <w:ind w:left="7462" w:hanging="495"/>
      </w:pPr>
      <w:rPr>
        <w:rFonts w:hint="default"/>
        <w:lang w:val="ru-RU" w:eastAsia="ru-RU" w:bidi="ru-RU"/>
      </w:rPr>
    </w:lvl>
    <w:lvl w:ilvl="7">
      <w:numFmt w:val="bullet"/>
      <w:lvlText w:val="•"/>
      <w:lvlJc w:val="left"/>
      <w:pPr>
        <w:ind w:left="8132" w:hanging="495"/>
      </w:pPr>
      <w:rPr>
        <w:rFonts w:hint="default"/>
        <w:lang w:val="ru-RU" w:eastAsia="ru-RU" w:bidi="ru-RU"/>
      </w:rPr>
    </w:lvl>
    <w:lvl w:ilvl="8">
      <w:numFmt w:val="bullet"/>
      <w:lvlText w:val="•"/>
      <w:lvlJc w:val="left"/>
      <w:pPr>
        <w:ind w:left="8803" w:hanging="495"/>
      </w:pPr>
      <w:rPr>
        <w:rFonts w:hint="default"/>
        <w:lang w:val="ru-RU" w:eastAsia="ru-RU" w:bidi="ru-RU"/>
      </w:rPr>
    </w:lvl>
  </w:abstractNum>
  <w:abstractNum w:abstractNumId="6" w15:restartNumberingAfterBreak="0">
    <w:nsid w:val="69EC494D"/>
    <w:multiLevelType w:val="hybridMultilevel"/>
    <w:tmpl w:val="9642FAB0"/>
    <w:lvl w:ilvl="0" w:tplc="FE56BCDA">
      <w:numFmt w:val="bullet"/>
      <w:lvlText w:val="-"/>
      <w:lvlJc w:val="left"/>
      <w:pPr>
        <w:ind w:left="399" w:hanging="226"/>
      </w:pPr>
      <w:rPr>
        <w:rFonts w:ascii="Times New Roman" w:eastAsia="Times New Roman" w:hAnsi="Times New Roman" w:cs="Times New Roman" w:hint="default"/>
        <w:w w:val="99"/>
        <w:sz w:val="28"/>
        <w:szCs w:val="28"/>
        <w:lang w:val="ru-RU" w:eastAsia="ru-RU" w:bidi="ru-RU"/>
      </w:rPr>
    </w:lvl>
    <w:lvl w:ilvl="1" w:tplc="752EC6A0">
      <w:numFmt w:val="bullet"/>
      <w:lvlText w:val="•"/>
      <w:lvlJc w:val="left"/>
      <w:pPr>
        <w:ind w:left="1374" w:hanging="226"/>
      </w:pPr>
      <w:rPr>
        <w:rFonts w:hint="default"/>
        <w:lang w:val="ru-RU" w:eastAsia="ru-RU" w:bidi="ru-RU"/>
      </w:rPr>
    </w:lvl>
    <w:lvl w:ilvl="2" w:tplc="7F684312">
      <w:numFmt w:val="bullet"/>
      <w:lvlText w:val="•"/>
      <w:lvlJc w:val="left"/>
      <w:pPr>
        <w:ind w:left="2348" w:hanging="226"/>
      </w:pPr>
      <w:rPr>
        <w:rFonts w:hint="default"/>
        <w:lang w:val="ru-RU" w:eastAsia="ru-RU" w:bidi="ru-RU"/>
      </w:rPr>
    </w:lvl>
    <w:lvl w:ilvl="3" w:tplc="57ACC746">
      <w:numFmt w:val="bullet"/>
      <w:lvlText w:val="•"/>
      <w:lvlJc w:val="left"/>
      <w:pPr>
        <w:ind w:left="3323" w:hanging="226"/>
      </w:pPr>
      <w:rPr>
        <w:rFonts w:hint="default"/>
        <w:lang w:val="ru-RU" w:eastAsia="ru-RU" w:bidi="ru-RU"/>
      </w:rPr>
    </w:lvl>
    <w:lvl w:ilvl="4" w:tplc="6846E5AC">
      <w:numFmt w:val="bullet"/>
      <w:lvlText w:val="•"/>
      <w:lvlJc w:val="left"/>
      <w:pPr>
        <w:ind w:left="4297" w:hanging="226"/>
      </w:pPr>
      <w:rPr>
        <w:rFonts w:hint="default"/>
        <w:lang w:val="ru-RU" w:eastAsia="ru-RU" w:bidi="ru-RU"/>
      </w:rPr>
    </w:lvl>
    <w:lvl w:ilvl="5" w:tplc="AA84FDD0">
      <w:numFmt w:val="bullet"/>
      <w:lvlText w:val="•"/>
      <w:lvlJc w:val="left"/>
      <w:pPr>
        <w:ind w:left="5272" w:hanging="226"/>
      </w:pPr>
      <w:rPr>
        <w:rFonts w:hint="default"/>
        <w:lang w:val="ru-RU" w:eastAsia="ru-RU" w:bidi="ru-RU"/>
      </w:rPr>
    </w:lvl>
    <w:lvl w:ilvl="6" w:tplc="B0E602EC">
      <w:numFmt w:val="bullet"/>
      <w:lvlText w:val="•"/>
      <w:lvlJc w:val="left"/>
      <w:pPr>
        <w:ind w:left="6246" w:hanging="226"/>
      </w:pPr>
      <w:rPr>
        <w:rFonts w:hint="default"/>
        <w:lang w:val="ru-RU" w:eastAsia="ru-RU" w:bidi="ru-RU"/>
      </w:rPr>
    </w:lvl>
    <w:lvl w:ilvl="7" w:tplc="7AC420E8">
      <w:numFmt w:val="bullet"/>
      <w:lvlText w:val="•"/>
      <w:lvlJc w:val="left"/>
      <w:pPr>
        <w:ind w:left="7220" w:hanging="226"/>
      </w:pPr>
      <w:rPr>
        <w:rFonts w:hint="default"/>
        <w:lang w:val="ru-RU" w:eastAsia="ru-RU" w:bidi="ru-RU"/>
      </w:rPr>
    </w:lvl>
    <w:lvl w:ilvl="8" w:tplc="AD062CE2">
      <w:numFmt w:val="bullet"/>
      <w:lvlText w:val="•"/>
      <w:lvlJc w:val="left"/>
      <w:pPr>
        <w:ind w:left="8195" w:hanging="226"/>
      </w:pPr>
      <w:rPr>
        <w:rFonts w:hint="default"/>
        <w:lang w:val="ru-RU" w:eastAsia="ru-RU" w:bidi="ru-RU"/>
      </w:rPr>
    </w:lvl>
  </w:abstractNum>
  <w:abstractNum w:abstractNumId="7" w15:restartNumberingAfterBreak="0">
    <w:nsid w:val="6E9E7F1D"/>
    <w:multiLevelType w:val="hybridMultilevel"/>
    <w:tmpl w:val="80944C3A"/>
    <w:lvl w:ilvl="0" w:tplc="BFBC1E00">
      <w:start w:val="1"/>
      <w:numFmt w:val="decimal"/>
      <w:lvlText w:val="%1."/>
      <w:lvlJc w:val="left"/>
      <w:pPr>
        <w:ind w:left="1249" w:hanging="284"/>
        <w:jc w:val="left"/>
      </w:pPr>
      <w:rPr>
        <w:rFonts w:ascii="Times New Roman" w:eastAsia="Times New Roman" w:hAnsi="Times New Roman" w:cs="Times New Roman" w:hint="default"/>
        <w:w w:val="99"/>
        <w:sz w:val="28"/>
        <w:szCs w:val="28"/>
        <w:lang w:val="ru-RU" w:eastAsia="ru-RU" w:bidi="ru-RU"/>
      </w:rPr>
    </w:lvl>
    <w:lvl w:ilvl="1" w:tplc="6EE0F614">
      <w:numFmt w:val="bullet"/>
      <w:lvlText w:val="•"/>
      <w:lvlJc w:val="left"/>
      <w:pPr>
        <w:ind w:left="2130" w:hanging="284"/>
      </w:pPr>
      <w:rPr>
        <w:rFonts w:hint="default"/>
        <w:lang w:val="ru-RU" w:eastAsia="ru-RU" w:bidi="ru-RU"/>
      </w:rPr>
    </w:lvl>
    <w:lvl w:ilvl="2" w:tplc="09D45BE2">
      <w:numFmt w:val="bullet"/>
      <w:lvlText w:val="•"/>
      <w:lvlJc w:val="left"/>
      <w:pPr>
        <w:ind w:left="3020" w:hanging="284"/>
      </w:pPr>
      <w:rPr>
        <w:rFonts w:hint="default"/>
        <w:lang w:val="ru-RU" w:eastAsia="ru-RU" w:bidi="ru-RU"/>
      </w:rPr>
    </w:lvl>
    <w:lvl w:ilvl="3" w:tplc="50F2A86E">
      <w:numFmt w:val="bullet"/>
      <w:lvlText w:val="•"/>
      <w:lvlJc w:val="left"/>
      <w:pPr>
        <w:ind w:left="3911" w:hanging="284"/>
      </w:pPr>
      <w:rPr>
        <w:rFonts w:hint="default"/>
        <w:lang w:val="ru-RU" w:eastAsia="ru-RU" w:bidi="ru-RU"/>
      </w:rPr>
    </w:lvl>
    <w:lvl w:ilvl="4" w:tplc="FB580F64">
      <w:numFmt w:val="bullet"/>
      <w:lvlText w:val="•"/>
      <w:lvlJc w:val="left"/>
      <w:pPr>
        <w:ind w:left="4801" w:hanging="284"/>
      </w:pPr>
      <w:rPr>
        <w:rFonts w:hint="default"/>
        <w:lang w:val="ru-RU" w:eastAsia="ru-RU" w:bidi="ru-RU"/>
      </w:rPr>
    </w:lvl>
    <w:lvl w:ilvl="5" w:tplc="E44610E8">
      <w:numFmt w:val="bullet"/>
      <w:lvlText w:val="•"/>
      <w:lvlJc w:val="left"/>
      <w:pPr>
        <w:ind w:left="5692" w:hanging="284"/>
      </w:pPr>
      <w:rPr>
        <w:rFonts w:hint="default"/>
        <w:lang w:val="ru-RU" w:eastAsia="ru-RU" w:bidi="ru-RU"/>
      </w:rPr>
    </w:lvl>
    <w:lvl w:ilvl="6" w:tplc="F9A6ED18">
      <w:numFmt w:val="bullet"/>
      <w:lvlText w:val="•"/>
      <w:lvlJc w:val="left"/>
      <w:pPr>
        <w:ind w:left="6582" w:hanging="284"/>
      </w:pPr>
      <w:rPr>
        <w:rFonts w:hint="default"/>
        <w:lang w:val="ru-RU" w:eastAsia="ru-RU" w:bidi="ru-RU"/>
      </w:rPr>
    </w:lvl>
    <w:lvl w:ilvl="7" w:tplc="65E8FC6E">
      <w:numFmt w:val="bullet"/>
      <w:lvlText w:val="•"/>
      <w:lvlJc w:val="left"/>
      <w:pPr>
        <w:ind w:left="7472" w:hanging="284"/>
      </w:pPr>
      <w:rPr>
        <w:rFonts w:hint="default"/>
        <w:lang w:val="ru-RU" w:eastAsia="ru-RU" w:bidi="ru-RU"/>
      </w:rPr>
    </w:lvl>
    <w:lvl w:ilvl="8" w:tplc="D3C49DB6">
      <w:numFmt w:val="bullet"/>
      <w:lvlText w:val="•"/>
      <w:lvlJc w:val="left"/>
      <w:pPr>
        <w:ind w:left="8363" w:hanging="284"/>
      </w:pPr>
      <w:rPr>
        <w:rFonts w:hint="default"/>
        <w:lang w:val="ru-RU" w:eastAsia="ru-RU" w:bidi="ru-RU"/>
      </w:rPr>
    </w:lvl>
  </w:abstractNum>
  <w:num w:numId="1">
    <w:abstractNumId w:val="7"/>
  </w:num>
  <w:num w:numId="2">
    <w:abstractNumId w:val="6"/>
  </w:num>
  <w:num w:numId="3">
    <w:abstractNumId w:val="3"/>
  </w:num>
  <w:num w:numId="4">
    <w:abstractNumId w:val="4"/>
  </w:num>
  <w:num w:numId="5">
    <w:abstractNumId w:val="0"/>
  </w:num>
  <w:num w:numId="6">
    <w:abstractNumId w:val="1"/>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ADD"/>
    <w:rsid w:val="001A484F"/>
    <w:rsid w:val="001E4829"/>
    <w:rsid w:val="002E3EA1"/>
    <w:rsid w:val="00614751"/>
    <w:rsid w:val="00BC4A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BF7EF"/>
  <w15:chartTrackingRefBased/>
  <w15:docId w15:val="{BB40A6FF-A2FF-4B75-90E6-32147C52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5461</Words>
  <Characters>31133</Characters>
  <Application>Microsoft Office Word</Application>
  <DocSecurity>0</DocSecurity>
  <Lines>259</Lines>
  <Paragraphs>73</Paragraphs>
  <ScaleCrop>false</ScaleCrop>
  <Company/>
  <LinksUpToDate>false</LinksUpToDate>
  <CharactersWithSpaces>36521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2020-04-01T07:23:00Z</dcterms:created>
  <dcterms:modified xsi:type="dcterms:W3CDTF">2020-04-01T07:59:00Z</dcterms:modified>
</cp:coreProperties>
</file>