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D99F2" w14:textId="77777777" w:rsidR="007C7F54" w:rsidRPr="007C7F54" w:rsidRDefault="007C7F54" w:rsidP="007C7F54">
      <w:pPr>
        <w:shd w:val="clear" w:color="auto" w:fill="FFFFFF"/>
        <w:spacing w:line="240" w:lineRule="auto"/>
        <w:outlineLvl w:val="0"/>
        <w:rPr>
          <w:rFonts w:ascii="KazimirText" w:eastAsia="Times New Roman" w:hAnsi="KazimirText" w:cs="Times New Roman"/>
          <w:color w:val="000C24"/>
          <w:kern w:val="36"/>
          <w:sz w:val="36"/>
          <w:szCs w:val="36"/>
          <w:lang w:eastAsia="ru-RU"/>
        </w:rPr>
      </w:pPr>
      <w:r w:rsidRPr="007C7F54">
        <w:rPr>
          <w:rFonts w:ascii="Gotham Pro" w:eastAsia="Times New Roman" w:hAnsi="Gotham Pro" w:cs="Times New Roman"/>
          <w:b/>
          <w:bCs/>
          <w:color w:val="000C24"/>
          <w:kern w:val="36"/>
          <w:sz w:val="36"/>
          <w:szCs w:val="36"/>
          <w:lang w:eastAsia="ru-RU"/>
        </w:rPr>
        <w:t>Газотурбинная установка (ГТУ)</w:t>
      </w:r>
    </w:p>
    <w:p w14:paraId="56C7C376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Gotham Pro" w:eastAsia="Times New Roman" w:hAnsi="Gotham Pro" w:cs="Times New Roman"/>
          <w:b/>
          <w:bCs/>
          <w:color w:val="000C24"/>
          <w:sz w:val="26"/>
          <w:szCs w:val="26"/>
          <w:lang w:eastAsia="ru-RU"/>
        </w:rPr>
      </w:pPr>
      <w:r w:rsidRPr="007C7F54">
        <w:rPr>
          <w:rFonts w:ascii="Gotham Pro" w:eastAsia="Times New Roman" w:hAnsi="Gotham Pro" w:cs="Times New Roman"/>
          <w:b/>
          <w:bCs/>
          <w:color w:val="000C24"/>
          <w:sz w:val="26"/>
          <w:szCs w:val="26"/>
          <w:lang w:eastAsia="ru-RU"/>
        </w:rPr>
        <w:t>Газотурбинная установка (ГТУ) — энергетическая установка</w:t>
      </w:r>
    </w:p>
    <w:p w14:paraId="48A26B18" w14:textId="52070142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noProof/>
          <w:color w:val="000C24"/>
          <w:sz w:val="26"/>
          <w:szCs w:val="26"/>
          <w:lang w:eastAsia="ru-RU"/>
        </w:rPr>
        <mc:AlternateContent>
          <mc:Choice Requires="wps">
            <w:drawing>
              <wp:inline distT="0" distB="0" distL="0" distR="0" wp14:anchorId="3835F470" wp14:editId="08EF5045">
                <wp:extent cx="304800" cy="304800"/>
                <wp:effectExtent l="0" t="0" r="0" b="0"/>
                <wp:docPr id="3" name="AutoShape 4" descr="Газотурбинная установка (ГТУ)&#10;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3E4734" id="AutoShape 4" o:spid="_x0000_s1026" alt="Газотурбинная установка (ГТУ)&#10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KazimirText" w:eastAsia="Times New Roman" w:hAnsi="KazimirText" w:cs="Times New Roman"/>
          <w:noProof/>
          <w:color w:val="000C24"/>
          <w:sz w:val="26"/>
          <w:szCs w:val="26"/>
          <w:lang w:eastAsia="ru-RU"/>
        </w:rPr>
        <w:drawing>
          <wp:inline distT="0" distB="0" distL="0" distR="0" wp14:anchorId="024253B9" wp14:editId="6010C119">
            <wp:extent cx="6096000" cy="3048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830" cy="3050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F360C5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Газотурбинная установка (ГТУ) - энергетическая установка.</w:t>
      </w:r>
    </w:p>
    <w:p w14:paraId="28D4325F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Оборудование ГТУ включает следующие части: </w:t>
      </w:r>
    </w:p>
    <w:p w14:paraId="6F9D20F4" w14:textId="77777777" w:rsidR="007C7F54" w:rsidRPr="007C7F54" w:rsidRDefault="007C7F54" w:rsidP="007C7F54">
      <w:pPr>
        <w:numPr>
          <w:ilvl w:val="0"/>
          <w:numId w:val="1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газовая </w:t>
      </w:r>
      <w:hyperlink r:id="rId6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турбина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,</w:t>
      </w:r>
    </w:p>
    <w:p w14:paraId="7A06248D" w14:textId="77777777" w:rsidR="007C7F54" w:rsidRPr="007C7F54" w:rsidRDefault="007C7F54" w:rsidP="007C7F54">
      <w:pPr>
        <w:numPr>
          <w:ilvl w:val="0"/>
          <w:numId w:val="1"/>
        </w:numPr>
        <w:shd w:val="clear" w:color="auto" w:fill="FFFFFF"/>
        <w:spacing w:before="75" w:after="30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электрический генератор, </w:t>
      </w:r>
    </w:p>
    <w:p w14:paraId="58B5356C" w14:textId="77777777" w:rsidR="007C7F54" w:rsidRPr="007C7F54" w:rsidRDefault="007C7F54" w:rsidP="007C7F54">
      <w:pPr>
        <w:numPr>
          <w:ilvl w:val="0"/>
          <w:numId w:val="1"/>
        </w:numPr>
        <w:shd w:val="clear" w:color="auto" w:fill="FFFFFF"/>
        <w:spacing w:before="75" w:after="30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газовоздушный тракт, </w:t>
      </w:r>
    </w:p>
    <w:p w14:paraId="3ACF6858" w14:textId="77777777" w:rsidR="007C7F54" w:rsidRPr="007C7F54" w:rsidRDefault="007C7F54" w:rsidP="007C7F54">
      <w:pPr>
        <w:numPr>
          <w:ilvl w:val="0"/>
          <w:numId w:val="1"/>
        </w:numPr>
        <w:shd w:val="clear" w:color="auto" w:fill="FFFFFF"/>
        <w:spacing w:before="75" w:after="30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система управления,</w:t>
      </w:r>
    </w:p>
    <w:p w14:paraId="3974A43D" w14:textId="31C97726" w:rsidR="00EC0F29" w:rsidRDefault="007C7F54" w:rsidP="00EC0F29">
      <w:pPr>
        <w:numPr>
          <w:ilvl w:val="0"/>
          <w:numId w:val="1"/>
        </w:numPr>
        <w:shd w:val="clear" w:color="auto" w:fill="FFFFFF"/>
        <w:spacing w:before="75"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вспомогательные устройства (пусковое устройство, компрессор, теплообменный аппарат или котел-утилизатор для подогрева сетевой воды для промышленного снабжения).</w:t>
      </w:r>
    </w:p>
    <w:p w14:paraId="6CA2BB9D" w14:textId="77777777" w:rsidR="00EC0F29" w:rsidRPr="00EC0F29" w:rsidRDefault="00EC0F29" w:rsidP="00EC0F29">
      <w:pPr>
        <w:shd w:val="clear" w:color="auto" w:fill="E2E2E4"/>
        <w:spacing w:after="0" w:line="240" w:lineRule="auto"/>
        <w:ind w:firstLine="150"/>
        <w:outlineLvl w:val="1"/>
        <w:rPr>
          <w:rFonts w:ascii="Arial" w:eastAsia="Times New Roman" w:hAnsi="Arial" w:cs="Arial"/>
          <w:color w:val="2B002B"/>
          <w:sz w:val="36"/>
          <w:szCs w:val="36"/>
          <w:lang w:eastAsia="ru-RU"/>
        </w:rPr>
      </w:pPr>
      <w:r w:rsidRPr="00EC0F29">
        <w:rPr>
          <w:rFonts w:ascii="Arial" w:eastAsia="Times New Roman" w:hAnsi="Arial" w:cs="Arial"/>
          <w:color w:val="2B002B"/>
          <w:sz w:val="36"/>
          <w:szCs w:val="36"/>
          <w:lang w:eastAsia="ru-RU"/>
        </w:rPr>
        <w:t>Принцип действия газотурбинных установок</w:t>
      </w:r>
    </w:p>
    <w:p w14:paraId="3A04624F" w14:textId="77777777" w:rsidR="00EC0F29" w:rsidRPr="00EC0F29" w:rsidRDefault="00EC0F29" w:rsidP="00EC0F29">
      <w:pPr>
        <w:shd w:val="clear" w:color="auto" w:fill="E2E2E4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53C364E" w14:textId="4A73CA4B" w:rsidR="00EC0F29" w:rsidRPr="00EC0F29" w:rsidRDefault="00EC0F29" w:rsidP="00EC0F29">
      <w:pPr>
        <w:shd w:val="clear" w:color="auto" w:fill="E2E2E4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EC0F29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5C881BE3" wp14:editId="1BDEB934">
            <wp:extent cx="3810000" cy="1790700"/>
            <wp:effectExtent l="0" t="0" r="0" b="0"/>
            <wp:docPr id="4" name="Рисунок 4" descr="Схема ГТУ с одновальным ГТД простого цик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хема ГТУ с одновальным ГТД простого цикл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C44BA" w14:textId="77777777" w:rsidR="00EC0F29" w:rsidRPr="00EC0F29" w:rsidRDefault="00EC0F29" w:rsidP="00EC0F29">
      <w:pPr>
        <w:shd w:val="clear" w:color="auto" w:fill="E2E2E4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EC0F2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Рис.1. Схема ГТУ с одновальным ГТД простого цикла</w:t>
      </w:r>
    </w:p>
    <w:p w14:paraId="45E546BF" w14:textId="77777777" w:rsidR="00EC0F29" w:rsidRPr="00EC0F29" w:rsidRDefault="00EC0F29" w:rsidP="00EC0F29">
      <w:pPr>
        <w:shd w:val="clear" w:color="auto" w:fill="E2E2E4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7D7E98E" w14:textId="77777777" w:rsidR="00EC0F29" w:rsidRPr="00EC0F29" w:rsidRDefault="00EC0F29" w:rsidP="00EC0F29">
      <w:pPr>
        <w:shd w:val="clear" w:color="auto" w:fill="E2E2E4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EC0F2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компрессор (1) газотурбинного силового агрегата подается чистый воздух. Под высоким давлением воздух из компрессора направляется в камеру сгорания (2), куда подается и основное </w:t>
      </w:r>
      <w:r w:rsidRPr="00EC0F29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топливо — газ. Смесь воспламеняется. При сгорании газовоздушной смеси образуется энергия в виде потока раскаленных газов. Этот поток с высокой скоростью устремляется на рабочее колесо турбины (3) и вращает его. Вращательная кинетическая энергия через вал турбины приводит в действие компрессор и электрический генератор (4). С клемм электрогенератора произведенное электричество, обычно через трансформатор, направляется в электросеть, к потребителям энергии.</w:t>
      </w:r>
    </w:p>
    <w:p w14:paraId="18ECA8AD" w14:textId="77777777" w:rsidR="00EC0F29" w:rsidRPr="007C7F54" w:rsidRDefault="00EC0F29" w:rsidP="00EC0F29">
      <w:pPr>
        <w:shd w:val="clear" w:color="auto" w:fill="FFFFFF"/>
        <w:spacing w:before="75" w:after="0" w:line="240" w:lineRule="auto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</w:p>
    <w:p w14:paraId="3691D89F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Выходящие из турбины отработанные </w:t>
      </w:r>
      <w:proofErr w:type="spell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газы</w:t>
      </w:r>
      <w:proofErr w:type="spell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 в зависимости от потребностей заказчика используются для производства горячей воды или пара.</w:t>
      </w:r>
    </w:p>
    <w:p w14:paraId="143017E4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14114E49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Силовая турбина и генератор размещаются в одном корпусе.</w:t>
      </w:r>
    </w:p>
    <w:p w14:paraId="76F512CB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32DEF281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Поток газа высокой температуры воздействует на лопатки силовой турбины (создает крутящий момент).</w:t>
      </w:r>
    </w:p>
    <w:p w14:paraId="2E0A02F9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Использование тепла посредством теплообменника или котла-утилизатора обеспечивает увеличение общего КПД установки.</w:t>
      </w: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br/>
      </w:r>
    </w:p>
    <w:p w14:paraId="5120E891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Электрическая мощность газотурбинных энергоустановок колеблется от десятков кВт до десятков МВт.</w:t>
      </w:r>
    </w:p>
    <w:p w14:paraId="7686E1E8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Оптимальным режимом работы ГТУ является комбинированная выработка тепловой и электрической энергии (когенерация).</w:t>
      </w:r>
    </w:p>
    <w:p w14:paraId="2F957C51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14CEECCC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Наибольший КПД достигается при работе в режиме когенерации или </w:t>
      </w:r>
      <w:proofErr w:type="spell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тригенерации</w:t>
      </w:r>
      <w:proofErr w:type="spell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 (одновременная выработка тепловой, электрической энергии и энергии холода).</w:t>
      </w:r>
    </w:p>
    <w:p w14:paraId="615EF884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Электрический КПД современных ГТУ составляет </w:t>
      </w:r>
      <w:proofErr w:type="gram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33-39</w:t>
      </w:r>
      <w:proofErr w:type="gram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%. </w:t>
      </w:r>
    </w:p>
    <w:p w14:paraId="1370D8D1" w14:textId="362BD9B4" w:rsid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С учетом высокой температуры выхлопных газов в мощных ГТУ, комбинированное использование газовых и паровых турбин позволяет повысить эффективность использования </w:t>
      </w:r>
      <w:hyperlink r:id="rId8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топлива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 и увеличивает электрический КПД установок до 57-59%.</w:t>
      </w:r>
    </w:p>
    <w:p w14:paraId="476A4DAE" w14:textId="77777777" w:rsidR="00EC0F29" w:rsidRDefault="007C7F54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  <w:r>
        <w:rPr>
          <w:rFonts w:ascii="PT Sans" w:hAnsi="PT Sans"/>
          <w:color w:val="333333"/>
          <w:sz w:val="27"/>
          <w:szCs w:val="27"/>
          <w:shd w:val="clear" w:color="auto" w:fill="F6F6F6"/>
        </w:rPr>
        <w:t>Парогазовыми называются энергетические установки, в которых теплота уходящих газов газотурбинные установки прямо или косвенно используется для выработки электроэнергии в паротурбинном цикле.</w:t>
      </w:r>
    </w:p>
    <w:p w14:paraId="4142C04A" w14:textId="77777777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</w:p>
    <w:p w14:paraId="4558BE3E" w14:textId="77777777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</w:p>
    <w:p w14:paraId="732F11F0" w14:textId="77777777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</w:p>
    <w:p w14:paraId="1F336086" w14:textId="779858F1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  <w:r>
        <w:rPr>
          <w:rFonts w:ascii="PT Sans" w:hAnsi="PT Sans"/>
          <w:noProof/>
          <w:color w:val="333333"/>
          <w:sz w:val="27"/>
          <w:szCs w:val="27"/>
          <w:shd w:val="clear" w:color="auto" w:fill="F6F6F6"/>
        </w:rPr>
        <w:lastRenderedPageBreak/>
        <w:drawing>
          <wp:inline distT="0" distB="0" distL="0" distR="0" wp14:anchorId="56B69ED3" wp14:editId="201598EC">
            <wp:extent cx="4133850" cy="3238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3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F51DBF" w14:textId="77777777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</w:p>
    <w:p w14:paraId="0D61A1EF" w14:textId="77777777" w:rsidR="00EC0F29" w:rsidRDefault="00EC0F29" w:rsidP="007C7F54">
      <w:pPr>
        <w:shd w:val="clear" w:color="auto" w:fill="FFFFFF"/>
        <w:spacing w:after="0" w:line="240" w:lineRule="auto"/>
        <w:rPr>
          <w:rFonts w:ascii="PT Sans" w:hAnsi="PT Sans"/>
          <w:color w:val="333333"/>
          <w:sz w:val="27"/>
          <w:szCs w:val="27"/>
          <w:shd w:val="clear" w:color="auto" w:fill="F6F6F6"/>
        </w:rPr>
      </w:pPr>
    </w:p>
    <w:p w14:paraId="4B4B96FF" w14:textId="0BE939F8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 Рис. 1. Принципиальная схема простейшая парогазовые установки утилизационного </w:t>
      </w:r>
      <w:proofErr w:type="gram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типа</w:t>
      </w:r>
      <w:proofErr w:type="gram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 На рис. 1 показана принципиальная схема простейшей парогазовой установки, так называемого утилизационного типа. Уходящие </w:t>
      </w:r>
      <w:proofErr w:type="spell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газы</w:t>
      </w:r>
      <w:proofErr w:type="spell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 газотурбинные установки поступают в котел- утилизатор-теплообменник противоточного типа, в котором за счет тепла горячих газов генерируется пар высоких параметров, направляемый в паровую турбину. Из турбины отработанный пар поступает в конденсатор, конденсируется и с помощью питательного насоса, повышающего давление питательной воды, направляется снова в котел-утилизатор [3].</w:t>
      </w:r>
      <w:r>
        <w:rPr>
          <w:rFonts w:ascii="PT Sans" w:hAnsi="PT Sans"/>
          <w:color w:val="333333"/>
          <w:sz w:val="27"/>
          <w:szCs w:val="27"/>
        </w:rPr>
        <w:br/>
      </w:r>
      <w:r>
        <w:rPr>
          <w:rFonts w:ascii="PT Sans" w:hAnsi="PT Sans"/>
          <w:color w:val="333333"/>
          <w:sz w:val="27"/>
          <w:szCs w:val="27"/>
        </w:rPr>
        <w:br/>
      </w:r>
      <w:r>
        <w:rPr>
          <w:rFonts w:ascii="PT Sans" w:hAnsi="PT Sans"/>
          <w:color w:val="333333"/>
          <w:sz w:val="27"/>
          <w:szCs w:val="27"/>
          <w:shd w:val="clear" w:color="auto" w:fill="F6F6F6"/>
        </w:rPr>
        <w:t>Пожалуйста, не забудьте правильно оформить цитату:</w:t>
      </w:r>
      <w:r>
        <w:rPr>
          <w:rFonts w:ascii="PT Sans" w:hAnsi="PT Sans"/>
          <w:color w:val="333333"/>
          <w:sz w:val="27"/>
          <w:szCs w:val="27"/>
        </w:rPr>
        <w:br/>
      </w:r>
      <w:proofErr w:type="spell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Усмонов</w:t>
      </w:r>
      <w:proofErr w:type="spell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, Н. О. Особенности использования парогазовых установок на ТЭС / Н. О. </w:t>
      </w:r>
      <w:proofErr w:type="spell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Усмонов</w:t>
      </w:r>
      <w:proofErr w:type="spell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, Ф. Ш. </w:t>
      </w:r>
      <w:proofErr w:type="spell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Умарджанова</w:t>
      </w:r>
      <w:proofErr w:type="spell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. — </w:t>
      </w:r>
      <w:proofErr w:type="gram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Текст :</w:t>
      </w:r>
      <w:proofErr w:type="gram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 xml:space="preserve"> непосредственный // Молодой ученый. — 2016. — № 11 (115). — С. </w:t>
      </w:r>
      <w:proofErr w:type="gramStart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518-522</w:t>
      </w:r>
      <w:proofErr w:type="gramEnd"/>
      <w:r>
        <w:rPr>
          <w:rFonts w:ascii="PT Sans" w:hAnsi="PT Sans"/>
          <w:color w:val="333333"/>
          <w:sz w:val="27"/>
          <w:szCs w:val="27"/>
          <w:shd w:val="clear" w:color="auto" w:fill="F6F6F6"/>
        </w:rPr>
        <w:t>. — URL: https://moluch.ru/archive/115/30781/ (дата обращения: 23.01.2022).</w:t>
      </w:r>
    </w:p>
    <w:p w14:paraId="6B3A7CE0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ГТУ в энергетике работают как в базовом режиме, так и для покрытия пиковых нагрузок.</w:t>
      </w:r>
    </w:p>
    <w:p w14:paraId="3DD58AFF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44422896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В настоящее время ГТУ начали широко применяться в малой </w:t>
      </w:r>
      <w:hyperlink r:id="rId10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энергетике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.</w:t>
      </w:r>
    </w:p>
    <w:p w14:paraId="391BD510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ГТУ предназначены для эксплуатации в любых климатических условиях как основной или резервный источник электроэнергии и тепла для объектов производственного или бытового назначения.</w:t>
      </w:r>
    </w:p>
    <w:p w14:paraId="7BC9A718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Области применения газотурбинных установок практически не ограничены: нефтегазодобывающая промышленность, промышленные предприятия, муниципальные образования.</w:t>
      </w:r>
    </w:p>
    <w:p w14:paraId="021C2D39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proofErr w:type="spell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lastRenderedPageBreak/>
        <w:t>Блочно</w:t>
      </w:r>
      <w:proofErr w:type="spell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-модульное исполнение ГТУ обеспечивает высокий уровень заводской готовности газотурбинных электростанций (</w:t>
      </w:r>
      <w:hyperlink r:id="rId11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ГТЭС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).</w:t>
      </w:r>
    </w:p>
    <w:p w14:paraId="0DFF8D98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1FE7C84E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Степень автоматизации ГТУ позволяет отказаться от постоянного присутствия обслуживающего персонала в блоке управления.</w:t>
      </w:r>
    </w:p>
    <w:p w14:paraId="19FC18C7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Контроль работы станции может осуществляться с главного щита управления, дистанционно.</w:t>
      </w:r>
    </w:p>
    <w:p w14:paraId="774F45DC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3737F246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Возможность получения недорогой тепловой и электрической энергии предполагает быструю окупаемость поставленной ГТУ.</w:t>
      </w:r>
    </w:p>
    <w:p w14:paraId="785629E3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</w:p>
    <w:p w14:paraId="1C91EE17" w14:textId="77777777" w:rsidR="007C7F54" w:rsidRPr="007C7F54" w:rsidRDefault="007C7F54" w:rsidP="007C7F54">
      <w:pPr>
        <w:shd w:val="clear" w:color="auto" w:fill="FFFFFF"/>
        <w:spacing w:after="96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В ГТУ может использоваться газообразное и жидкое топливо:</w:t>
      </w:r>
    </w:p>
    <w:p w14:paraId="2567AF51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hyperlink r:id="rId12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дизельное топливо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,</w:t>
      </w:r>
    </w:p>
    <w:p w14:paraId="15BD6A6E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hyperlink r:id="rId13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керосин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,</w:t>
      </w:r>
    </w:p>
    <w:p w14:paraId="1EA8B3B0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hyperlink r:id="rId14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природный газ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,</w:t>
      </w:r>
    </w:p>
    <w:p w14:paraId="4902237B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попутный нефтяной газ (</w:t>
      </w:r>
      <w:hyperlink r:id="rId15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ПНГ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),</w:t>
      </w:r>
    </w:p>
    <w:p w14:paraId="7217F687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hyperlink r:id="rId16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3"/>
            <w:szCs w:val="23"/>
            <w:u w:val="single"/>
            <w:lang w:eastAsia="ru-RU"/>
          </w:rPr>
          <w:t>биогаз</w:t>
        </w:r>
      </w:hyperlink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 xml:space="preserve"> (образованный из отходов сточных вод, мусорных свалок и </w:t>
      </w:r>
      <w:proofErr w:type="gramStart"/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т.п.</w:t>
      </w:r>
      <w:proofErr w:type="gramEnd"/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),</w:t>
      </w:r>
    </w:p>
    <w:p w14:paraId="1C5998E0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шахтный газ,</w:t>
      </w:r>
    </w:p>
    <w:p w14:paraId="344A785B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коксовый газ,</w:t>
      </w:r>
    </w:p>
    <w:p w14:paraId="27F810A1" w14:textId="77777777" w:rsidR="007C7F54" w:rsidRPr="007C7F54" w:rsidRDefault="007C7F54" w:rsidP="007C7F54">
      <w:pPr>
        <w:numPr>
          <w:ilvl w:val="0"/>
          <w:numId w:val="2"/>
        </w:numPr>
        <w:shd w:val="clear" w:color="auto" w:fill="FFFFFF"/>
        <w:spacing w:after="0" w:line="240" w:lineRule="auto"/>
        <w:ind w:left="1395"/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</w:pPr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 xml:space="preserve">древесный газ и </w:t>
      </w:r>
      <w:proofErr w:type="gramStart"/>
      <w:r w:rsidRPr="007C7F54">
        <w:rPr>
          <w:rFonts w:ascii="KazimirText" w:eastAsia="Times New Roman" w:hAnsi="KazimirText" w:cs="Times New Roman"/>
          <w:color w:val="595959"/>
          <w:sz w:val="23"/>
          <w:szCs w:val="23"/>
          <w:lang w:eastAsia="ru-RU"/>
        </w:rPr>
        <w:t>др..</w:t>
      </w:r>
      <w:proofErr w:type="gramEnd"/>
    </w:p>
    <w:p w14:paraId="72A2B498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Большинство ГТУ могут работать на низкокалорийном топливе с минимальной концентрацией </w:t>
      </w:r>
      <w:hyperlink r:id="rId17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метана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 (до 30%).</w:t>
      </w:r>
    </w:p>
    <w:p w14:paraId="66F72FB1" w14:textId="77777777" w:rsidR="007C7F54" w:rsidRPr="007C7F54" w:rsidRDefault="007C7F54" w:rsidP="007C7F54">
      <w:pPr>
        <w:shd w:val="clear" w:color="auto" w:fill="FFFFFF"/>
        <w:spacing w:after="0"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Преимуществом при использовании ГТУ непосредственно в местах проживания людей, является то, что содержание вредных выбросов у них минимально и находится на уровне </w:t>
      </w:r>
      <w:proofErr w:type="gram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9-25</w:t>
      </w:r>
      <w:proofErr w:type="gram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 xml:space="preserve"> </w:t>
      </w:r>
      <w:proofErr w:type="spellStart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ppm</w:t>
      </w:r>
      <w:proofErr w:type="spellEnd"/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. Этот критерий ГТУ значительно лучше, чем у поршневых электростанций (</w:t>
      </w:r>
      <w:hyperlink r:id="rId18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ГПЭС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).</w:t>
      </w:r>
    </w:p>
    <w:p w14:paraId="33ED7889" w14:textId="77777777" w:rsidR="007C7F54" w:rsidRPr="007C7F54" w:rsidRDefault="007C7F54" w:rsidP="007C7F54">
      <w:pPr>
        <w:shd w:val="clear" w:color="auto" w:fill="FFFFFF"/>
        <w:spacing w:line="240" w:lineRule="auto"/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</w:pPr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При использовании ГТУ потребитель может получить существенную экономию средств на </w:t>
      </w:r>
      <w:hyperlink r:id="rId19" w:tooltip="Библиотека Neftegaz.RU" w:history="1">
        <w:r w:rsidRPr="007C7F54">
          <w:rPr>
            <w:rFonts w:ascii="KazimirText" w:eastAsia="Times New Roman" w:hAnsi="KazimirText" w:cs="Times New Roman"/>
            <w:color w:val="FF7F00"/>
            <w:sz w:val="26"/>
            <w:szCs w:val="26"/>
            <w:u w:val="single"/>
            <w:lang w:eastAsia="ru-RU"/>
          </w:rPr>
          <w:t>катализаторах</w:t>
        </w:r>
      </w:hyperlink>
      <w:r w:rsidRPr="007C7F54">
        <w:rPr>
          <w:rFonts w:ascii="KazimirText" w:eastAsia="Times New Roman" w:hAnsi="KazimirText" w:cs="Times New Roman"/>
          <w:color w:val="000C24"/>
          <w:sz w:val="26"/>
          <w:szCs w:val="26"/>
          <w:lang w:eastAsia="ru-RU"/>
        </w:rPr>
        <w:t> и при строительстве дымовых труб.</w:t>
      </w:r>
    </w:p>
    <w:p w14:paraId="2EA977CF" w14:textId="77777777" w:rsidR="007C0553" w:rsidRDefault="007C0553"/>
    <w:sectPr w:rsidR="007C0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azimirText">
    <w:altName w:val="Cambria"/>
    <w:panose1 w:val="00000000000000000000"/>
    <w:charset w:val="00"/>
    <w:family w:val="roman"/>
    <w:notTrueType/>
    <w:pitch w:val="default"/>
  </w:font>
  <w:font w:name="Gotham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300F6"/>
    <w:multiLevelType w:val="multilevel"/>
    <w:tmpl w:val="13D43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0B57DE"/>
    <w:multiLevelType w:val="multilevel"/>
    <w:tmpl w:val="3576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1FF"/>
    <w:rsid w:val="006501FF"/>
    <w:rsid w:val="007C0553"/>
    <w:rsid w:val="007C7F54"/>
    <w:rsid w:val="00EC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CD59D"/>
  <w15:chartTrackingRefBased/>
  <w15:docId w15:val="{092F5019-A962-4F9D-AC7F-770CFBBC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C0F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C0F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C0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0F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5535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66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ftegaz.ru/tech-library/ngk/147773-toplivo/" TargetMode="External"/><Relationship Id="rId13" Type="http://schemas.openxmlformats.org/officeDocument/2006/relationships/hyperlink" Target="https://neftegaz.ru/tech-library/energoresursy-toplivo/141470-kerosin/" TargetMode="External"/><Relationship Id="rId18" Type="http://schemas.openxmlformats.org/officeDocument/2006/relationships/hyperlink" Target="https://neftegaz.ru/tech-library/elektrostantsii/141677-gazoporshnevaya-elektrostantsiya-gpes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s://neftegaz.ru/tech-library/energoresursy-toplivo/141468-dizelnoe-toplivo/" TargetMode="External"/><Relationship Id="rId17" Type="http://schemas.openxmlformats.org/officeDocument/2006/relationships/hyperlink" Target="https://neftegaz.ru/tech-library/neftekhimiya/638746-meta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ftegaz.ru/tech-library/energoresursy-toplivo/147998-biotoplivo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neftegaz.ru/tech-library/turbinnoe-oborudovanie-i-zapchasti/141885-turbina/?clear_cache=Y" TargetMode="External"/><Relationship Id="rId11" Type="http://schemas.openxmlformats.org/officeDocument/2006/relationships/hyperlink" Target="https://neftegaz.ru/tech-library/elektrostantsii/141458-gazoturbinnaya-elektrostantsiya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ftegaz.ru/tech-library/energoresursy-toplivo/141459-poputnyy-neftyanoy-gaz-png/" TargetMode="External"/><Relationship Id="rId10" Type="http://schemas.openxmlformats.org/officeDocument/2006/relationships/hyperlink" Target="https://neftegaz.ru/tech-library/energoresursy-toplivo/654247-energetika/" TargetMode="External"/><Relationship Id="rId19" Type="http://schemas.openxmlformats.org/officeDocument/2006/relationships/hyperlink" Target="https://neftegaz.ru/tech-library/pererabotka-nefti-i-gaza/147532-katalizator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neftegaz.ru/tech-library/energoresursy-toplivo/141748-gaz-prirodny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2022-01-23T06:11:00Z</dcterms:created>
  <dcterms:modified xsi:type="dcterms:W3CDTF">2022-01-23T06:19:00Z</dcterms:modified>
</cp:coreProperties>
</file>