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762F" w:rsidRPr="00F0762F" w:rsidRDefault="00F0762F" w:rsidP="00F0762F">
      <w:pPr>
        <w:spacing w:after="0" w:line="240" w:lineRule="auto"/>
        <w:ind w:left="1080" w:hanging="360"/>
        <w:rPr>
          <w:rFonts w:ascii="Times New Roman" w:eastAsia="Times New Roman" w:hAnsi="Times New Roman" w:cs="Times New Roman"/>
          <w:b/>
          <w:bCs/>
          <w:i/>
          <w:iCs/>
          <w:sz w:val="32"/>
          <w:szCs w:val="24"/>
          <w:lang w:eastAsia="ru-RU"/>
        </w:rPr>
      </w:pPr>
      <w:r w:rsidRPr="00F0762F">
        <w:rPr>
          <w:rFonts w:ascii="Times New Roman" w:eastAsia="Times New Roman" w:hAnsi="Times New Roman" w:cs="Times New Roman"/>
          <w:b/>
          <w:bCs/>
          <w:i/>
          <w:iCs/>
          <w:sz w:val="32"/>
          <w:szCs w:val="24"/>
          <w:lang w:eastAsia="ru-RU"/>
        </w:rPr>
        <w:t>1</w:t>
      </w:r>
      <w:r>
        <w:rPr>
          <w:rFonts w:ascii="Times New Roman" w:eastAsia="Times New Roman" w:hAnsi="Times New Roman" w:cs="Times New Roman"/>
          <w:b/>
          <w:bCs/>
          <w:i/>
          <w:iCs/>
          <w:sz w:val="32"/>
          <w:szCs w:val="24"/>
          <w:lang w:eastAsia="ru-RU"/>
        </w:rPr>
        <w:t>5</w:t>
      </w:r>
      <w:r w:rsidRPr="00F0762F">
        <w:rPr>
          <w:rFonts w:ascii="Times New Roman" w:eastAsia="Times New Roman" w:hAnsi="Times New Roman" w:cs="Times New Roman"/>
          <w:b/>
          <w:bCs/>
          <w:i/>
          <w:iCs/>
          <w:sz w:val="32"/>
          <w:szCs w:val="24"/>
          <w:lang w:eastAsia="ru-RU"/>
        </w:rPr>
        <w:t xml:space="preserve">  ОРГАНИЗАЦИЯ  ДВИЖЕНИЯ  КАК  СРЕДСТВО ПОВЫШЕНИЯ  БЕЗОПАСНОСТИ</w:t>
      </w:r>
    </w:p>
    <w:p w:rsidR="00F0762F" w:rsidRPr="00F0762F" w:rsidRDefault="00F0762F" w:rsidP="00F0762F">
      <w:pPr>
        <w:spacing w:after="0" w:line="240" w:lineRule="auto"/>
        <w:ind w:left="1080" w:hanging="360"/>
        <w:rPr>
          <w:rFonts w:ascii="Times New Roman" w:eastAsia="Times New Roman" w:hAnsi="Times New Roman" w:cs="Times New Roman"/>
          <w:b/>
          <w:bCs/>
          <w:i/>
          <w:iCs/>
          <w:sz w:val="32"/>
          <w:szCs w:val="24"/>
          <w:lang w:eastAsia="ru-RU"/>
        </w:rPr>
      </w:pPr>
    </w:p>
    <w:p w:rsidR="00F0762F" w:rsidRPr="00F0762F" w:rsidRDefault="00F0762F" w:rsidP="00F0762F">
      <w:pPr>
        <w:spacing w:after="0" w:line="240" w:lineRule="auto"/>
        <w:ind w:left="720"/>
        <w:rPr>
          <w:rFonts w:ascii="Times New Roman" w:eastAsia="Times New Roman" w:hAnsi="Times New Roman" w:cs="Times New Roman"/>
          <w:b/>
          <w:bCs/>
          <w:i/>
          <w:iCs/>
          <w:sz w:val="32"/>
          <w:szCs w:val="24"/>
          <w:lang w:eastAsia="ru-RU"/>
        </w:rPr>
      </w:pPr>
      <w:r>
        <w:rPr>
          <w:rFonts w:ascii="Times New Roman" w:eastAsia="Times New Roman" w:hAnsi="Times New Roman" w:cs="Times New Roman"/>
          <w:b/>
          <w:bCs/>
          <w:i/>
          <w:iCs/>
          <w:sz w:val="32"/>
          <w:szCs w:val="24"/>
          <w:lang w:eastAsia="ru-RU"/>
        </w:rPr>
        <w:t>15.1</w:t>
      </w:r>
      <w:r w:rsidRPr="00F0762F">
        <w:rPr>
          <w:rFonts w:ascii="Times New Roman" w:eastAsia="Times New Roman" w:hAnsi="Times New Roman" w:cs="Times New Roman"/>
          <w:b/>
          <w:bCs/>
          <w:i/>
          <w:iCs/>
          <w:sz w:val="32"/>
          <w:szCs w:val="24"/>
          <w:lang w:eastAsia="ru-RU"/>
        </w:rPr>
        <w:t>Роль  организации  движения  в  обеспечении  его  безопасности</w:t>
      </w:r>
    </w:p>
    <w:p w:rsidR="00F0762F" w:rsidRPr="00F0762F" w:rsidRDefault="00F0762F" w:rsidP="00F0762F">
      <w:pPr>
        <w:spacing w:after="0" w:line="240" w:lineRule="auto"/>
        <w:rPr>
          <w:rFonts w:ascii="Times New Roman" w:eastAsia="Times New Roman" w:hAnsi="Times New Roman" w:cs="Times New Roman"/>
          <w:b/>
          <w:bCs/>
          <w:i/>
          <w:iCs/>
          <w:sz w:val="32"/>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Безопасность движения на автомобильной дороге невозможно обеспечить только строительными мероприятиями, не принимая мер по его организации, учитывающих колебания интенсивности движения, изменения погоды и особенности восприятия водителями движения по дороге.</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К мероприятиям по ОДД на автомобильной дороге можно отнести </w:t>
      </w:r>
      <w:proofErr w:type="gramStart"/>
      <w:r w:rsidRPr="00F0762F">
        <w:rPr>
          <w:rFonts w:ascii="Times New Roman" w:eastAsia="Times New Roman" w:hAnsi="Times New Roman" w:cs="Times New Roman"/>
          <w:sz w:val="28"/>
          <w:szCs w:val="24"/>
          <w:lang w:eastAsia="ru-RU"/>
        </w:rPr>
        <w:t>следующие</w:t>
      </w:r>
      <w:proofErr w:type="gramEnd"/>
      <w:r w:rsidRPr="00F0762F">
        <w:rPr>
          <w:rFonts w:ascii="Times New Roman" w:eastAsia="Times New Roman" w:hAnsi="Times New Roman" w:cs="Times New Roman"/>
          <w:sz w:val="28"/>
          <w:szCs w:val="24"/>
          <w:lang w:eastAsia="ru-RU"/>
        </w:rPr>
        <w:t>:</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разделение транспортных потоков по скоростям, направлениям и назначению;</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регулирование скоростей в соответствии с дорожными условиями посредством дорожных знаков с постоянной или меняющейся информацией;</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обеспечение четкого использования автомобилями проезжей части;</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информирование водителей о дорожных условиях, расположении населенных пунктов, маршрутах транзитного движения через крупные населенные пункты;</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перераспределение транспортных потоков по параллельным маршрутам  в зависимости от интенсивности движения и времени суток.</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Реализацией этих мероприятий занимаются специальные подразделения в составе дорожно-эксплуатационных учреждений – службы организации движения (СОД ДЭУ), в задачу которых входят разработка и осуществление силами ДЭУ мероприятий, обеспечивающих безопасные условия движения, повышение пропускной способности дорог и скоростей движения, а также создание удобств пользования дорогой для водителей и пассажиров путем благоустройства дороги.</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Многообразные обязанности службы СОД ДЭУ включают изучение условий работы дороги, выявление в ней недостатков, планирование мероприятий по повышению безопасности и организованности движения, </w:t>
      </w:r>
      <w:proofErr w:type="gramStart"/>
      <w:r w:rsidRPr="00F0762F">
        <w:rPr>
          <w:rFonts w:ascii="Times New Roman" w:eastAsia="Times New Roman" w:hAnsi="Times New Roman" w:cs="Times New Roman"/>
          <w:sz w:val="28"/>
          <w:szCs w:val="24"/>
          <w:lang w:eastAsia="ru-RU"/>
        </w:rPr>
        <w:t>контроль за</w:t>
      </w:r>
      <w:proofErr w:type="gramEnd"/>
      <w:r w:rsidRPr="00F0762F">
        <w:rPr>
          <w:rFonts w:ascii="Times New Roman" w:eastAsia="Times New Roman" w:hAnsi="Times New Roman" w:cs="Times New Roman"/>
          <w:sz w:val="28"/>
          <w:szCs w:val="24"/>
          <w:lang w:eastAsia="ru-RU"/>
        </w:rPr>
        <w:t xml:space="preserve"> состоянием дороги, непрерывное изучение закономерностей движения по дороге в разных сезонных и погодных условиях, выявление </w:t>
      </w:r>
      <w:r w:rsidRPr="00F0762F">
        <w:rPr>
          <w:rFonts w:ascii="Times New Roman" w:eastAsia="Times New Roman" w:hAnsi="Times New Roman" w:cs="Times New Roman"/>
          <w:sz w:val="28"/>
          <w:szCs w:val="24"/>
          <w:lang w:eastAsia="ru-RU"/>
        </w:rPr>
        <w:lastRenderedPageBreak/>
        <w:t>причин систематически повторяющихся ДТП и задержек движения, участие в расследовании ДТП.</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СОД составляет прогнозы развития движения по дороге; участвует в разработке технико-экономического обоснования необходимости реконструкции дороги и в рассмотрении проектов всех дорожных работ; согласовывает проекты и размещение АЗС, мотелей, столовых, площадок отдыха и других придорожных предприятий автосервиса; осуществляет надзор за состоянием дороги; проводит периодический контроль коэффициента сцепления; </w:t>
      </w:r>
      <w:proofErr w:type="gramStart"/>
      <w:r w:rsidRPr="00F0762F">
        <w:rPr>
          <w:rFonts w:ascii="Times New Roman" w:eastAsia="Times New Roman" w:hAnsi="Times New Roman" w:cs="Times New Roman"/>
          <w:sz w:val="28"/>
          <w:szCs w:val="24"/>
          <w:lang w:eastAsia="ru-RU"/>
        </w:rPr>
        <w:t>ведет надзор за соблюдением требований документов, регламентирующих пользование дорогами («Положения о порядке пользования автомобильными дорогами», «правил по охране автомобильных дорог и дорожных сооружений»); согласовывает проезд по дороге негабаритных и тяжелых транспортных средств; принимает оперативные меры по ликвидации возникших опасных для движения условий, восстановлению поврежденных знаков и ограждений; организует пропуск движения при выполнении ремонтных работ, снежных заносах, гололеде;</w:t>
      </w:r>
      <w:proofErr w:type="gramEnd"/>
      <w:r w:rsidRPr="00F0762F">
        <w:rPr>
          <w:rFonts w:ascii="Times New Roman" w:eastAsia="Times New Roman" w:hAnsi="Times New Roman" w:cs="Times New Roman"/>
          <w:sz w:val="28"/>
          <w:szCs w:val="24"/>
          <w:lang w:eastAsia="ru-RU"/>
        </w:rPr>
        <w:t xml:space="preserve"> информирует водителей об условиях движения на всем протяжении дороги; разрабатывает утверждаемые в дальнейшем Дорожной полицией схемы разметки проезжей части, расстановки знаков и маршрутные схемы.</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left="720"/>
        <w:rPr>
          <w:rFonts w:ascii="Times New Roman" w:eastAsia="Times New Roman" w:hAnsi="Times New Roman" w:cs="Times New Roman"/>
          <w:b/>
          <w:bCs/>
          <w:i/>
          <w:iCs/>
          <w:sz w:val="32"/>
          <w:szCs w:val="24"/>
          <w:lang w:eastAsia="ru-RU"/>
        </w:rPr>
      </w:pPr>
      <w:r>
        <w:rPr>
          <w:rFonts w:ascii="Times New Roman" w:eastAsia="Times New Roman" w:hAnsi="Times New Roman" w:cs="Times New Roman"/>
          <w:b/>
          <w:bCs/>
          <w:i/>
          <w:iCs/>
          <w:sz w:val="32"/>
          <w:szCs w:val="24"/>
          <w:lang w:eastAsia="ru-RU"/>
        </w:rPr>
        <w:t>15.2</w:t>
      </w:r>
      <w:r w:rsidRPr="00F0762F">
        <w:rPr>
          <w:rFonts w:ascii="Times New Roman" w:eastAsia="Times New Roman" w:hAnsi="Times New Roman" w:cs="Times New Roman"/>
          <w:b/>
          <w:bCs/>
          <w:i/>
          <w:iCs/>
          <w:sz w:val="32"/>
          <w:szCs w:val="24"/>
          <w:lang w:eastAsia="ru-RU"/>
        </w:rPr>
        <w:t>Обеспечение  безопасности  движения  пешеходов</w:t>
      </w:r>
    </w:p>
    <w:p w:rsidR="00F0762F" w:rsidRPr="00F0762F" w:rsidRDefault="00F0762F" w:rsidP="00F0762F">
      <w:pPr>
        <w:spacing w:after="0" w:line="240" w:lineRule="auto"/>
        <w:rPr>
          <w:rFonts w:ascii="Times New Roman" w:eastAsia="Times New Roman" w:hAnsi="Times New Roman" w:cs="Times New Roman"/>
          <w:b/>
          <w:bCs/>
          <w:i/>
          <w:iCs/>
          <w:sz w:val="32"/>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По данным статистики, до 30% всех ДТП – наезды на пешеходов. Из них 26% связаны с наездами на пешеходов, идущих вдоль дороги из-за отсутствия тротуаров и пешеходных дорожек, 65% - пересекающих дорогу, 5% - стоящих на обочине и 4; - находившихся на проезжей части.</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ДТП с пешеходами имеют очень тяжелые последствия, т.к. пешеход не защищен перед движущимся на него на высокой скорости автомобилем.</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 зависимости от местных условий (интенсивности движения, размеров населенных пунктов и их планировки) для уменьшения числа ДТП с пешеходами могут быть проведены следующие мероприятия:</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устройство с обеих или с одной стороны дороги тротуаров;</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lastRenderedPageBreak/>
        <w:t>-  уменьшение интенсивности движения по улицам путем перевода транзитного движения на менее загруженные параллельные улицы с разделением легкового и грузового движения;</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переключение местного движения с дороги на параллельные улицы и полосы движения;</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оборудование специальных мест перехода через дорогу в увязке с размещением автобусных остановок, магазинов, школ, клубов и т.д.;</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дорогах 1 категории строительство подземных или надземных пешеходных переходов в сочетании с установкой по оси дороги, на разделительной полосе, пешеходных ограждений;</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дорогах 11-111 категорий – оборудование пешеходного перехода в одном уровне, а при высокой интенсивности движения транспорта и пешеходов – светофорное регулирование;</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установка пешеходных ограждений вдоль тротуаров.</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Безопасность движения в населенных пунктах резко снижается из-за отсутствия стоянок для автомобилей около магазинов, столовых, вокзалов, больших учреждений, т.к. из-за стоящих на проезжей части автомобилей возможно неожиданное появление пешеходов.</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left="720"/>
        <w:rPr>
          <w:rFonts w:ascii="Times New Roman" w:eastAsia="Times New Roman" w:hAnsi="Times New Roman" w:cs="Times New Roman"/>
          <w:b/>
          <w:bCs/>
          <w:i/>
          <w:iCs/>
          <w:sz w:val="32"/>
          <w:szCs w:val="24"/>
          <w:lang w:eastAsia="ru-RU"/>
        </w:rPr>
      </w:pPr>
      <w:r>
        <w:rPr>
          <w:rFonts w:ascii="Times New Roman" w:eastAsia="Times New Roman" w:hAnsi="Times New Roman" w:cs="Times New Roman"/>
          <w:b/>
          <w:bCs/>
          <w:i/>
          <w:iCs/>
          <w:sz w:val="32"/>
          <w:szCs w:val="24"/>
          <w:lang w:eastAsia="ru-RU"/>
        </w:rPr>
        <w:t>15.3</w:t>
      </w:r>
      <w:r w:rsidRPr="00F0762F">
        <w:rPr>
          <w:rFonts w:ascii="Times New Roman" w:eastAsia="Times New Roman" w:hAnsi="Times New Roman" w:cs="Times New Roman"/>
          <w:b/>
          <w:bCs/>
          <w:i/>
          <w:iCs/>
          <w:sz w:val="32"/>
          <w:szCs w:val="24"/>
          <w:lang w:eastAsia="ru-RU"/>
        </w:rPr>
        <w:t>Управление  скоростями  движения</w:t>
      </w:r>
    </w:p>
    <w:p w:rsidR="00F0762F" w:rsidRPr="00F0762F" w:rsidRDefault="00F0762F" w:rsidP="00F0762F">
      <w:pPr>
        <w:spacing w:after="0" w:line="240" w:lineRule="auto"/>
        <w:rPr>
          <w:rFonts w:ascii="Times New Roman" w:eastAsia="Times New Roman" w:hAnsi="Times New Roman" w:cs="Times New Roman"/>
          <w:b/>
          <w:bCs/>
          <w:i/>
          <w:iCs/>
          <w:sz w:val="32"/>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ДТП на автомобильных дорогах часто вызываются значительными колебаниями скоростей на смежных участках. Поэтому выравнивание эпюры скоростей на протяжении дороги и «сглаживание» разницы в скоростях между автомобилями в транспортном потоке является эффективным средством повышения безопасности движения.</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Это может быть достигнуто рядом способов: </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ограничением максимальных скоростей движения на всем протяжении дороги;</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ограничением скоростей на отдельных участках в соответствии с их геометрическими элементами или состоянием покрытия путем установки знаков;</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психологическим воздействием на водителей, вызывающим непроизвольное снижение скорости движения.</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lastRenderedPageBreak/>
        <w:t>Верхний предел допустимой скорости на автомобильных дорогах необходимо устанавливать на уровне 85% обеспеченности для экспериментально установленных скоростей на каждом конкретном маршруте, т.е. предел скорости назначается на основании анализа сложившихся на маршруте закономерностей потоков движения. Он ограничивает режимы движения только 15% водителей, развивающих чрезмерно высокие, опасные в данных условиях скорости. Ограничение скорости должно касаться всех типов транспортных сре</w:t>
      </w:r>
      <w:proofErr w:type="gramStart"/>
      <w:r w:rsidRPr="00F0762F">
        <w:rPr>
          <w:rFonts w:ascii="Times New Roman" w:eastAsia="Times New Roman" w:hAnsi="Times New Roman" w:cs="Times New Roman"/>
          <w:sz w:val="28"/>
          <w:szCs w:val="24"/>
          <w:lang w:eastAsia="ru-RU"/>
        </w:rPr>
        <w:t>дств с ц</w:t>
      </w:r>
      <w:proofErr w:type="gramEnd"/>
      <w:r w:rsidRPr="00F0762F">
        <w:rPr>
          <w:rFonts w:ascii="Times New Roman" w:eastAsia="Times New Roman" w:hAnsi="Times New Roman" w:cs="Times New Roman"/>
          <w:sz w:val="28"/>
          <w:szCs w:val="24"/>
          <w:lang w:eastAsia="ru-RU"/>
        </w:rPr>
        <w:t>елью уменьшения интервала разброса скоростей в транспортном потоке. Количество ДТП при таком ограничении скоростей обычно снижается на 12-25%, а их тяжесть – на 30-40%.</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Количество ДТП снижается только при обоснованном назначении ограничения скорости и строгом соблюдении водителями указаний ограничительных знаков. Кроме того, ограничение скорости снижает производительность автомобильного транспорта и повышает себестоимость перевозок. Поэтому установка на отдельных опасных участках дорожных знаков, ограничивающих скорость движения, должно быть временным мероприятием, допустимым до устранения причины, вызывающей ДТП на этих участках. На основе графиков коэффициентов безопасности необходимо ограничивать скорости движения на участках, где коэффициенты безопасности ниже 0,6. Комплексными мероприятиями по реконструкции таких участков и ОДД нужно добиваться, чтобы коэффициенты безопасности были не ниже 0,6, а лучше 0,8. </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Но эффективность дорожных знаков невелика в связи с тем, что многие водители игнорируют их указания, считая их необоснованными. Поэтому в особенно опасных местах указания знаков ограничения скорости желательно дублировать другими способами воздействия на режимы движения. Например, созданием на усовершенствованных покрытиях искусственных замедляющих неровностей («трясущих» полос) в виде чередующихся полос поверхностной обработки из щебня крупностью 18-20 мм шириной 1 м.  Размер неровностей опытным путем может быть подобран таким образом, чтобы их влияние проявлялось только при скоростях, превышающих допустимые. </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Трясущие полосы рекомендуется устанавливать в следующих случаях:</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lastRenderedPageBreak/>
        <w:t>-  для повышения эффективности дорожных знаков и светофоров при приближении к опасным местам, участкам производства дорожных работ, перед пересечениями с дорогами более высоких категорий;</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длинных прямых участках в однообразной местности в целях повышения активности водителей, как мера борьбы с сонливостью;</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перед местами резкого изменения дорожных условий.</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Существует также рад методов снижения скоростей движения путем психологического создания у водителей впечатления о движении с чрезмерной скоростью:</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постепенное сужение полос движения между островками на канализированных пересечениях;</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зрительное перекрытие пути движения автомобиля, например ориентирование примыкающей дороги на Т-образном пересечении или перед кривой на группу деревьев;</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постепенное уменьшение длины штрихов прерывистой разметки таким образом, чтобы увеличилась частота их мелькания в глазах водителей;</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нанесение поперечных линий на покрытие с уменьшающимися между ними расстояниями.</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Выравнивание скоростей движения на дорогах может достигаться не только снижением их наибольших значений, но и повышением наименьших. Для этого возможен ряд способов:</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  обеспечение видимости, в 2-3 раза превышающей </w:t>
      </w:r>
      <w:proofErr w:type="gramStart"/>
      <w:r w:rsidRPr="00F0762F">
        <w:rPr>
          <w:rFonts w:ascii="Times New Roman" w:eastAsia="Times New Roman" w:hAnsi="Times New Roman" w:cs="Times New Roman"/>
          <w:sz w:val="28"/>
          <w:szCs w:val="24"/>
          <w:lang w:eastAsia="ru-RU"/>
        </w:rPr>
        <w:t>расчетную</w:t>
      </w:r>
      <w:proofErr w:type="gramEnd"/>
      <w:r w:rsidRPr="00F0762F">
        <w:rPr>
          <w:rFonts w:ascii="Times New Roman" w:eastAsia="Times New Roman" w:hAnsi="Times New Roman" w:cs="Times New Roman"/>
          <w:sz w:val="28"/>
          <w:szCs w:val="24"/>
          <w:lang w:eastAsia="ru-RU"/>
        </w:rPr>
        <w:t>;</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устройство виражей на кривых;</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придание дороге пространственной плавности;</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зрительное ориентирование водителей;</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упорядочение использования проезжей части и четкое обозначение полос движения в местах, где у водителей могут возникать сомнения в выборе правильного пути (разметка проезжей части, направляющие островки на пересечениях в одном уровне);</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уширение проезжей части в местах, где допустимо движение с повышенными в разумных пределах скоростями, увеличение радиусов правоповоротных полос на пересечениях в одном уровне;</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lastRenderedPageBreak/>
        <w:t>-  устройство дополнительных полос проезжей части в местах, где часть транспортного потока снижает скорость;</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снижение интенсивности движения путем специализации улиц в населенных пунктах и дорог в местностях с развитой дорожной сетью с рассредоточением движения по сети параллельных маршрутов, выделением специализированных дорог и полос движения для отдельных видов подвижного состава (велосипедные дорожки, тротуары, тракторные пути);</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запрещение обгонов в местах трудных дорожных условий и в периоды высокой загрузки движением. Устройство через несколько километров специальных дополнительных полос проезжей части для обгонов, с обязательной установкой предупреждающих об этом указателей.</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Запрещать обгоны целесообразно в часы, когда интенсивность движения значительно возрастает. Запрещение в другое время не рекомендуется, т.к. снижает транспортные качества дорог. Обгоны следует запрещать при интенсивностях, указанных в таблице 13.1.</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Таблица 13.1</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0"/>
        <w:gridCol w:w="3190"/>
        <w:gridCol w:w="3191"/>
      </w:tblGrid>
      <w:tr w:rsidR="00F0762F" w:rsidRPr="00F0762F" w:rsidTr="004E3C2F">
        <w:tblPrEx>
          <w:tblCellMar>
            <w:top w:w="0" w:type="dxa"/>
            <w:bottom w:w="0" w:type="dxa"/>
          </w:tblCellMar>
        </w:tblPrEx>
        <w:trPr>
          <w:cantSplit/>
        </w:trPr>
        <w:tc>
          <w:tcPr>
            <w:tcW w:w="3190" w:type="dxa"/>
            <w:vMerge w:val="restart"/>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Ширина проезжей части, </w:t>
            </w:r>
            <w:proofErr w:type="gramStart"/>
            <w:r w:rsidRPr="00F0762F">
              <w:rPr>
                <w:rFonts w:ascii="Times New Roman" w:eastAsia="Times New Roman" w:hAnsi="Times New Roman" w:cs="Times New Roman"/>
                <w:sz w:val="28"/>
                <w:szCs w:val="24"/>
                <w:lang w:eastAsia="ru-RU"/>
              </w:rPr>
              <w:t>м</w:t>
            </w:r>
            <w:proofErr w:type="gramEnd"/>
          </w:p>
        </w:tc>
        <w:tc>
          <w:tcPr>
            <w:tcW w:w="6381" w:type="dxa"/>
            <w:gridSpan w:val="2"/>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Интенсивность движения, авт./</w:t>
            </w:r>
            <w:proofErr w:type="gramStart"/>
            <w:r w:rsidRPr="00F0762F">
              <w:rPr>
                <w:rFonts w:ascii="Times New Roman" w:eastAsia="Times New Roman" w:hAnsi="Times New Roman" w:cs="Times New Roman"/>
                <w:sz w:val="28"/>
                <w:szCs w:val="24"/>
                <w:lang w:eastAsia="ru-RU"/>
              </w:rPr>
              <w:t>ч</w:t>
            </w:r>
            <w:proofErr w:type="gramEnd"/>
            <w:r w:rsidRPr="00F0762F">
              <w:rPr>
                <w:rFonts w:ascii="Times New Roman" w:eastAsia="Times New Roman" w:hAnsi="Times New Roman" w:cs="Times New Roman"/>
                <w:sz w:val="28"/>
                <w:szCs w:val="24"/>
                <w:lang w:eastAsia="ru-RU"/>
              </w:rPr>
              <w:t>, при которой следует запрещать обгоны</w:t>
            </w:r>
          </w:p>
        </w:tc>
      </w:tr>
      <w:tr w:rsidR="00F0762F" w:rsidRPr="00F0762F" w:rsidTr="004E3C2F">
        <w:tblPrEx>
          <w:tblCellMar>
            <w:top w:w="0" w:type="dxa"/>
            <w:bottom w:w="0" w:type="dxa"/>
          </w:tblCellMar>
        </w:tblPrEx>
        <w:trPr>
          <w:cantSplit/>
        </w:trPr>
        <w:tc>
          <w:tcPr>
            <w:tcW w:w="3190" w:type="dxa"/>
            <w:vMerge/>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tc>
        <w:tc>
          <w:tcPr>
            <w:tcW w:w="319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Грузовым автомобилям</w:t>
            </w:r>
          </w:p>
        </w:tc>
        <w:tc>
          <w:tcPr>
            <w:tcW w:w="3191"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Всем автомобилям</w:t>
            </w:r>
          </w:p>
        </w:tc>
      </w:tr>
      <w:tr w:rsidR="00F0762F" w:rsidRPr="00F0762F" w:rsidTr="004E3C2F">
        <w:tblPrEx>
          <w:tblCellMar>
            <w:top w:w="0" w:type="dxa"/>
            <w:bottom w:w="0" w:type="dxa"/>
          </w:tblCellMar>
        </w:tblPrEx>
        <w:tc>
          <w:tcPr>
            <w:tcW w:w="3190" w:type="dxa"/>
            <w:tcBorders>
              <w:bottom w:val="nil"/>
            </w:tcBorders>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6-7</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7-9</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9-10</w:t>
            </w:r>
          </w:p>
        </w:tc>
        <w:tc>
          <w:tcPr>
            <w:tcW w:w="3190" w:type="dxa"/>
            <w:tcBorders>
              <w:bottom w:val="nil"/>
            </w:tcBorders>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300(170)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500(300)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700(400)</w:t>
            </w:r>
          </w:p>
        </w:tc>
        <w:tc>
          <w:tcPr>
            <w:tcW w:w="3191" w:type="dxa"/>
            <w:tcBorders>
              <w:bottom w:val="nil"/>
            </w:tcBorders>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500(300)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750(500)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800(700)</w:t>
            </w:r>
          </w:p>
        </w:tc>
      </w:tr>
      <w:tr w:rsidR="00F0762F" w:rsidRPr="00F0762F" w:rsidTr="004E3C2F">
        <w:tblPrEx>
          <w:tblCellMar>
            <w:top w:w="0" w:type="dxa"/>
            <w:bottom w:w="0" w:type="dxa"/>
          </w:tblCellMar>
        </w:tblPrEx>
        <w:trPr>
          <w:cantSplit/>
        </w:trPr>
        <w:tc>
          <w:tcPr>
            <w:tcW w:w="9571" w:type="dxa"/>
            <w:gridSpan w:val="3"/>
            <w:tcBorders>
              <w:top w:val="nil"/>
            </w:tcBorders>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Примечание: Цифры в скобках относятся к мокрым покрытиям.</w:t>
            </w:r>
          </w:p>
        </w:tc>
      </w:tr>
    </w:tbl>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 трудных условиях пересеченного рельефа, когда почти на всем протяжении дороги возникает необходимость ограничения или запрещения обгонов, целесообразно устраивать специальные обгонные полосы, расположенные на прямых участках или на кривых больших радиусов с видимостью не менее 350-500 м. Необходимая длина обгонных полос зависит от обеспечиваемой скорости при въезде на обгонный участок:</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88"/>
        <w:gridCol w:w="1080"/>
        <w:gridCol w:w="900"/>
        <w:gridCol w:w="900"/>
        <w:gridCol w:w="900"/>
        <w:gridCol w:w="900"/>
        <w:gridCol w:w="1003"/>
      </w:tblGrid>
      <w:tr w:rsidR="00F0762F" w:rsidRPr="00F0762F" w:rsidTr="004E3C2F">
        <w:tblPrEx>
          <w:tblCellMar>
            <w:top w:w="0" w:type="dxa"/>
            <w:bottom w:w="0" w:type="dxa"/>
          </w:tblCellMar>
        </w:tblPrEx>
        <w:tc>
          <w:tcPr>
            <w:tcW w:w="388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Скорость на подходах, </w:t>
            </w:r>
            <w:proofErr w:type="gramStart"/>
            <w:r w:rsidRPr="00F0762F">
              <w:rPr>
                <w:rFonts w:ascii="Times New Roman" w:eastAsia="Times New Roman" w:hAnsi="Times New Roman" w:cs="Times New Roman"/>
                <w:sz w:val="28"/>
                <w:szCs w:val="24"/>
                <w:lang w:eastAsia="ru-RU"/>
              </w:rPr>
              <w:t>км</w:t>
            </w:r>
            <w:proofErr w:type="gramEnd"/>
            <w:r w:rsidRPr="00F0762F">
              <w:rPr>
                <w:rFonts w:ascii="Times New Roman" w:eastAsia="Times New Roman" w:hAnsi="Times New Roman" w:cs="Times New Roman"/>
                <w:sz w:val="28"/>
                <w:szCs w:val="24"/>
                <w:lang w:eastAsia="ru-RU"/>
              </w:rPr>
              <w:t>/ч</w:t>
            </w:r>
          </w:p>
        </w:tc>
        <w:tc>
          <w:tcPr>
            <w:tcW w:w="108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120</w:t>
            </w:r>
          </w:p>
        </w:tc>
        <w:tc>
          <w:tcPr>
            <w:tcW w:w="90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100</w:t>
            </w:r>
          </w:p>
        </w:tc>
        <w:tc>
          <w:tcPr>
            <w:tcW w:w="90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80</w:t>
            </w:r>
          </w:p>
        </w:tc>
        <w:tc>
          <w:tcPr>
            <w:tcW w:w="90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60</w:t>
            </w:r>
          </w:p>
        </w:tc>
        <w:tc>
          <w:tcPr>
            <w:tcW w:w="90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50</w:t>
            </w:r>
          </w:p>
        </w:tc>
        <w:tc>
          <w:tcPr>
            <w:tcW w:w="1003"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30</w:t>
            </w:r>
          </w:p>
        </w:tc>
      </w:tr>
      <w:tr w:rsidR="00F0762F" w:rsidRPr="00F0762F" w:rsidTr="004E3C2F">
        <w:tblPrEx>
          <w:tblCellMar>
            <w:top w:w="0" w:type="dxa"/>
            <w:bottom w:w="0" w:type="dxa"/>
          </w:tblCellMar>
        </w:tblPrEx>
        <w:tc>
          <w:tcPr>
            <w:tcW w:w="388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Длина обгонного участка, </w:t>
            </w:r>
            <w:proofErr w:type="gramStart"/>
            <w:r w:rsidRPr="00F0762F">
              <w:rPr>
                <w:rFonts w:ascii="Times New Roman" w:eastAsia="Times New Roman" w:hAnsi="Times New Roman" w:cs="Times New Roman"/>
                <w:sz w:val="28"/>
                <w:szCs w:val="24"/>
                <w:lang w:eastAsia="ru-RU"/>
              </w:rPr>
              <w:t>км</w:t>
            </w:r>
            <w:proofErr w:type="gramEnd"/>
          </w:p>
        </w:tc>
        <w:tc>
          <w:tcPr>
            <w:tcW w:w="108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2-2,5</w:t>
            </w:r>
          </w:p>
        </w:tc>
        <w:tc>
          <w:tcPr>
            <w:tcW w:w="90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1,5-2</w:t>
            </w:r>
          </w:p>
        </w:tc>
        <w:tc>
          <w:tcPr>
            <w:tcW w:w="90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w:t>
            </w:r>
          </w:p>
        </w:tc>
        <w:tc>
          <w:tcPr>
            <w:tcW w:w="90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0,75</w:t>
            </w:r>
          </w:p>
        </w:tc>
        <w:tc>
          <w:tcPr>
            <w:tcW w:w="900"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0,6</w:t>
            </w:r>
          </w:p>
        </w:tc>
        <w:tc>
          <w:tcPr>
            <w:tcW w:w="1003"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0,4</w:t>
            </w:r>
          </w:p>
        </w:tc>
      </w:tr>
    </w:tbl>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left="720"/>
        <w:rPr>
          <w:rFonts w:ascii="Times New Roman" w:eastAsia="Times New Roman" w:hAnsi="Times New Roman" w:cs="Times New Roman"/>
          <w:b/>
          <w:bCs/>
          <w:i/>
          <w:iCs/>
          <w:sz w:val="32"/>
          <w:szCs w:val="24"/>
          <w:lang w:eastAsia="ru-RU"/>
        </w:rPr>
      </w:pPr>
      <w:r>
        <w:rPr>
          <w:rFonts w:ascii="Times New Roman" w:eastAsia="Times New Roman" w:hAnsi="Times New Roman" w:cs="Times New Roman"/>
          <w:b/>
          <w:bCs/>
          <w:i/>
          <w:iCs/>
          <w:sz w:val="32"/>
          <w:szCs w:val="24"/>
          <w:lang w:eastAsia="ru-RU"/>
        </w:rPr>
        <w:t>15.4</w:t>
      </w:r>
      <w:bookmarkStart w:id="0" w:name="_GoBack"/>
      <w:bookmarkEnd w:id="0"/>
      <w:r w:rsidRPr="00F0762F">
        <w:rPr>
          <w:rFonts w:ascii="Times New Roman" w:eastAsia="Times New Roman" w:hAnsi="Times New Roman" w:cs="Times New Roman"/>
          <w:b/>
          <w:bCs/>
          <w:i/>
          <w:iCs/>
          <w:sz w:val="32"/>
          <w:szCs w:val="24"/>
          <w:lang w:eastAsia="ru-RU"/>
        </w:rPr>
        <w:t>Меры  обеспечения  безопасности  движения</w:t>
      </w:r>
    </w:p>
    <w:p w:rsidR="00F0762F" w:rsidRPr="00F0762F" w:rsidRDefault="00F0762F" w:rsidP="00F0762F">
      <w:pPr>
        <w:spacing w:after="0" w:line="240" w:lineRule="auto"/>
        <w:ind w:left="1080" w:hanging="360"/>
        <w:rPr>
          <w:rFonts w:ascii="Times New Roman" w:eastAsia="Times New Roman" w:hAnsi="Times New Roman" w:cs="Times New Roman"/>
          <w:b/>
          <w:bCs/>
          <w:i/>
          <w:iCs/>
          <w:sz w:val="32"/>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Эффективность работы средств ОДД во многом зависит от того, насколько правильно были учтены условия, при которых эти средства должны применяться. Любое средство регулирования позволяет снизить аварийность, если оно выбрано с учетом особенностей восприятия его водителем и влияния его на режим движения. В одних и тех же дорожных условиях с изменением интенсивности движения резко меняются условия работы водителей, режим движения всего потока автомобилей, уровни удобства движения. Это приводит к изменению требований к средствам регулирования и выбору их типов.</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Для каждого </w:t>
      </w:r>
      <w:proofErr w:type="gramStart"/>
      <w:r w:rsidRPr="00F0762F">
        <w:rPr>
          <w:rFonts w:ascii="Times New Roman" w:eastAsia="Times New Roman" w:hAnsi="Times New Roman" w:cs="Times New Roman"/>
          <w:sz w:val="28"/>
          <w:szCs w:val="24"/>
          <w:lang w:eastAsia="ru-RU"/>
        </w:rPr>
        <w:t>их</w:t>
      </w:r>
      <w:proofErr w:type="gramEnd"/>
      <w:r w:rsidRPr="00F0762F">
        <w:rPr>
          <w:rFonts w:ascii="Times New Roman" w:eastAsia="Times New Roman" w:hAnsi="Times New Roman" w:cs="Times New Roman"/>
          <w:sz w:val="28"/>
          <w:szCs w:val="24"/>
          <w:lang w:eastAsia="ru-RU"/>
        </w:rPr>
        <w:t xml:space="preserve"> четырех уровней удобства движения характерны свои виды ДТП (таблица 13.2).</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b/>
          <w:bCs/>
          <w:sz w:val="28"/>
          <w:szCs w:val="24"/>
          <w:lang w:eastAsia="ru-RU"/>
        </w:rPr>
        <w:t>При уровне удобства</w:t>
      </w:r>
      <w:proofErr w:type="gramStart"/>
      <w:r w:rsidRPr="00F0762F">
        <w:rPr>
          <w:rFonts w:ascii="Times New Roman" w:eastAsia="Times New Roman" w:hAnsi="Times New Roman" w:cs="Times New Roman"/>
          <w:b/>
          <w:bCs/>
          <w:sz w:val="28"/>
          <w:szCs w:val="24"/>
          <w:lang w:eastAsia="ru-RU"/>
        </w:rPr>
        <w:t xml:space="preserve"> А</w:t>
      </w:r>
      <w:proofErr w:type="gramEnd"/>
      <w:r w:rsidRPr="00F0762F">
        <w:rPr>
          <w:rFonts w:ascii="Times New Roman" w:eastAsia="Times New Roman" w:hAnsi="Times New Roman" w:cs="Times New Roman"/>
          <w:b/>
          <w:bCs/>
          <w:sz w:val="28"/>
          <w:szCs w:val="24"/>
          <w:lang w:eastAsia="ru-RU"/>
        </w:rPr>
        <w:t xml:space="preserve"> </w:t>
      </w:r>
      <w:r w:rsidRPr="00F0762F">
        <w:rPr>
          <w:rFonts w:ascii="Times New Roman" w:eastAsia="Times New Roman" w:hAnsi="Times New Roman" w:cs="Times New Roman"/>
          <w:sz w:val="28"/>
          <w:szCs w:val="24"/>
          <w:lang w:eastAsia="ru-RU"/>
        </w:rPr>
        <w:t>основными причинами происшествий являются превышение скорости, потеря управления, невнимательность водителей. Движение осуществляется в свободных условиях с высокими скоростями. Основные виды ДТП – опрокидывание и столкновение. Все это указывает на необходимость широкого применения средств регулирования, предупреждающих водителей об изменяющихся дорожных условиях. Такими средствами являются: разметка проезжей части (в первую очередь ось дороги и кромки проезжей части на опасных участках), установка дорожных знаков, предупреждающих о безопасных скоростях движения, направляющих столбиков. В отдельных случаях эффективным может быть ограничение скорости.</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b/>
          <w:bCs/>
          <w:sz w:val="28"/>
          <w:szCs w:val="24"/>
          <w:lang w:eastAsia="ru-RU"/>
        </w:rPr>
        <w:t>При уровне удобства</w:t>
      </w:r>
      <w:proofErr w:type="gramStart"/>
      <w:r w:rsidRPr="00F0762F">
        <w:rPr>
          <w:rFonts w:ascii="Times New Roman" w:eastAsia="Times New Roman" w:hAnsi="Times New Roman" w:cs="Times New Roman"/>
          <w:b/>
          <w:bCs/>
          <w:sz w:val="28"/>
          <w:szCs w:val="24"/>
          <w:lang w:eastAsia="ru-RU"/>
        </w:rPr>
        <w:t xml:space="preserve"> Б</w:t>
      </w:r>
      <w:proofErr w:type="gramEnd"/>
      <w:r w:rsidRPr="00F0762F">
        <w:rPr>
          <w:rFonts w:ascii="Times New Roman" w:eastAsia="Times New Roman" w:hAnsi="Times New Roman" w:cs="Times New Roman"/>
          <w:sz w:val="28"/>
          <w:szCs w:val="24"/>
          <w:lang w:eastAsia="ru-RU"/>
        </w:rPr>
        <w:t xml:space="preserve"> основной причиной ДТП является неправильный обгон. Основной вид ДТП – лобовое столкновение. Наиболее эффективными мероприятиями являются: ограничение обгонов и организация их проведения разметкой, совершенствование способов информирования об этом водителей; регулирование маневров автомобилей, скоростей движения всего потока и отдельных групп автомобилей. В качестве средств регулирования применяют: дорожные знаки, ограничивающие обгоны различных групп автомобилей; двойную осевую разметку проезжей части, позволяющую регулировать обгоны; светящиеся предупреждающие указатели и зеркала. О начале запрещающей разметки водителей предупреждают направляющими стрелами. Все указатели и знаки должны дублироваться на противоположной стороне дороги, т.к. </w:t>
      </w:r>
      <w:r w:rsidRPr="00F0762F">
        <w:rPr>
          <w:rFonts w:ascii="Times New Roman" w:eastAsia="Times New Roman" w:hAnsi="Times New Roman" w:cs="Times New Roman"/>
          <w:sz w:val="28"/>
          <w:szCs w:val="24"/>
          <w:lang w:eastAsia="ru-RU"/>
        </w:rPr>
        <w:lastRenderedPageBreak/>
        <w:t>значительная часть водителей, выезжающих на обгон, не имеет возможности увидеть знаки, стоящие сбоку от дороги, из-за наличия других автомобилей.</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b/>
          <w:bCs/>
          <w:sz w:val="28"/>
          <w:szCs w:val="24"/>
          <w:lang w:eastAsia="ru-RU"/>
        </w:rPr>
        <w:t>При уровне удобства</w:t>
      </w:r>
      <w:proofErr w:type="gramStart"/>
      <w:r w:rsidRPr="00F0762F">
        <w:rPr>
          <w:rFonts w:ascii="Times New Roman" w:eastAsia="Times New Roman" w:hAnsi="Times New Roman" w:cs="Times New Roman"/>
          <w:b/>
          <w:bCs/>
          <w:sz w:val="28"/>
          <w:szCs w:val="24"/>
          <w:lang w:eastAsia="ru-RU"/>
        </w:rPr>
        <w:t xml:space="preserve"> В</w:t>
      </w:r>
      <w:proofErr w:type="gramEnd"/>
      <w:r w:rsidRPr="00F0762F">
        <w:rPr>
          <w:rFonts w:ascii="Times New Roman" w:eastAsia="Times New Roman" w:hAnsi="Times New Roman" w:cs="Times New Roman"/>
          <w:sz w:val="28"/>
          <w:szCs w:val="24"/>
          <w:lang w:eastAsia="ru-RU"/>
        </w:rPr>
        <w:t>, когда основной причиной ДТП является недооценка водителями скорости движения впереди идущего автомобиля и выбранного интервала движения, основным видом ДТП является попутное столкновение. В таких условиях необходимо применять знаки, рекомендующие выбор интервала движения, и световые табло, указывающие безопасные скорости движения. Необходимо также на отдельных участках дублировать разметку проезжей части знаками, т.к. она плохо видна при движении в плотном транспортном потоке.</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b/>
          <w:bCs/>
          <w:sz w:val="28"/>
          <w:szCs w:val="24"/>
          <w:lang w:eastAsia="ru-RU"/>
        </w:rPr>
        <w:t xml:space="preserve">При уровне удобства Г </w:t>
      </w:r>
      <w:r w:rsidRPr="00F0762F">
        <w:rPr>
          <w:rFonts w:ascii="Times New Roman" w:eastAsia="Times New Roman" w:hAnsi="Times New Roman" w:cs="Times New Roman"/>
          <w:sz w:val="28"/>
          <w:szCs w:val="24"/>
          <w:lang w:eastAsia="ru-RU"/>
        </w:rPr>
        <w:t xml:space="preserve">движение потока автомобилей происходит в виде непрерывной колонны. Часто бывают заторы. Основной вид ДТП – попутное столкновение вследствие несоблюдения дистанции безопасности. В этих условиях в качестве средств регулирования, позволяющих оперативно влиять на движение потока автомобилей, применяют: автоматические системы регулирования, световые табло с меняющейся информацией, полное </w:t>
      </w:r>
      <w:proofErr w:type="spellStart"/>
      <w:r w:rsidRPr="00F0762F">
        <w:rPr>
          <w:rFonts w:ascii="Times New Roman" w:eastAsia="Times New Roman" w:hAnsi="Times New Roman" w:cs="Times New Roman"/>
          <w:sz w:val="28"/>
          <w:szCs w:val="24"/>
          <w:lang w:eastAsia="ru-RU"/>
        </w:rPr>
        <w:t>канализирование</w:t>
      </w:r>
      <w:proofErr w:type="spellEnd"/>
      <w:r w:rsidRPr="00F0762F">
        <w:rPr>
          <w:rFonts w:ascii="Times New Roman" w:eastAsia="Times New Roman" w:hAnsi="Times New Roman" w:cs="Times New Roman"/>
          <w:sz w:val="28"/>
          <w:szCs w:val="24"/>
          <w:lang w:eastAsia="ru-RU"/>
        </w:rPr>
        <w:t xml:space="preserve"> движения на пересечениях в одном уровне, телевидение. Необходимы дублирование разметки знаками и установка знаков над проезжей частью.</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Неравномерность загрузки движением отдельных участков дорог часто вызывается местными понижениями величины пропускной способности, связанными с несоответствием элементов дороги требованиям движения. Рассмотренные выше мероприятия по ОДД оказываются в этом случае недостаточно эффективными, и их необходимо сочетать со строительными и эксплуатационными мероприятиями на дороге с целью устранить участки, резко ухудшающие ее транспортно-эксплуатационные качества. Выборочная реконструкция должна быть направлена на устранение наиболее опасных мест по данным ГАИ, а также мест заторов и сильных стеснений движения, где пропускная способность дороги недостаточна; на выравнивание эпюры скоростей движения, чтобы значения коэффициентов безопасности были не менее 0,7-0,8, в крайнем </w:t>
      </w:r>
      <w:proofErr w:type="gramStart"/>
      <w:r w:rsidRPr="00F0762F">
        <w:rPr>
          <w:rFonts w:ascii="Times New Roman" w:eastAsia="Times New Roman" w:hAnsi="Times New Roman" w:cs="Times New Roman"/>
          <w:sz w:val="28"/>
          <w:szCs w:val="24"/>
          <w:lang w:eastAsia="ru-RU"/>
        </w:rPr>
        <w:t>случае</w:t>
      </w:r>
      <w:proofErr w:type="gramEnd"/>
      <w:r w:rsidRPr="00F0762F">
        <w:rPr>
          <w:rFonts w:ascii="Times New Roman" w:eastAsia="Times New Roman" w:hAnsi="Times New Roman" w:cs="Times New Roman"/>
          <w:sz w:val="28"/>
          <w:szCs w:val="24"/>
          <w:lang w:eastAsia="ru-RU"/>
        </w:rPr>
        <w:t xml:space="preserve"> 0,6 (таблица 13.2).</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Таблица 13.2</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28"/>
        <w:gridCol w:w="1620"/>
        <w:gridCol w:w="3600"/>
        <w:gridCol w:w="3523"/>
      </w:tblGrid>
      <w:tr w:rsidR="00F0762F" w:rsidRPr="00F0762F" w:rsidTr="004E3C2F">
        <w:tblPrEx>
          <w:tblCellMar>
            <w:top w:w="0" w:type="dxa"/>
            <w:bottom w:w="0" w:type="dxa"/>
          </w:tblCellMar>
        </w:tblPrEx>
        <w:trPr>
          <w:cantSplit/>
          <w:trHeight w:val="1134"/>
        </w:trPr>
        <w:tc>
          <w:tcPr>
            <w:tcW w:w="828" w:type="dxa"/>
            <w:textDirection w:val="btLr"/>
          </w:tcPr>
          <w:p w:rsidR="00F0762F" w:rsidRPr="00F0762F" w:rsidRDefault="00F0762F" w:rsidP="00F0762F">
            <w:pPr>
              <w:spacing w:after="0" w:line="240" w:lineRule="auto"/>
              <w:ind w:left="113" w:right="113"/>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lastRenderedPageBreak/>
              <w:t>Уровни удобства</w:t>
            </w:r>
          </w:p>
        </w:tc>
        <w:tc>
          <w:tcPr>
            <w:tcW w:w="162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Коэффициент загрузки и уровень эмоциональной напряженности водителей</w:t>
            </w:r>
          </w:p>
        </w:tc>
        <w:tc>
          <w:tcPr>
            <w:tcW w:w="360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Строительные и эксплуатационные мероприятия.</w:t>
            </w:r>
          </w:p>
        </w:tc>
        <w:tc>
          <w:tcPr>
            <w:tcW w:w="3523"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Средства по организации движения</w:t>
            </w:r>
          </w:p>
        </w:tc>
      </w:tr>
      <w:tr w:rsidR="00F0762F" w:rsidRPr="00F0762F" w:rsidTr="004E3C2F">
        <w:tblPrEx>
          <w:tblCellMar>
            <w:top w:w="0" w:type="dxa"/>
            <w:bottom w:w="0" w:type="dxa"/>
          </w:tblCellMar>
        </w:tblPrEx>
        <w:tc>
          <w:tcPr>
            <w:tcW w:w="82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А</w:t>
            </w:r>
          </w:p>
        </w:tc>
        <w:tc>
          <w:tcPr>
            <w:tcW w:w="162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Менее 0,2</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Оптимальный</w:t>
            </w:r>
          </w:p>
        </w:tc>
        <w:tc>
          <w:tcPr>
            <w:tcW w:w="360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Укрепление обочин.</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Шероховатые поверхностные обработки. Улучшение видимости на особо опасных участках. Устройство виражей, уширение проезжей части на кривых малых радиусов.</w:t>
            </w:r>
          </w:p>
        </w:tc>
        <w:tc>
          <w:tcPr>
            <w:tcW w:w="3523"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Осевая разметка. Предупреждающие знаки.</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Разметка, запрещающая обгон на кривых малых радиусов и в местах ограничения видимости. Уширения для остановок автобусов. Направляющие столбики.</w:t>
            </w:r>
          </w:p>
        </w:tc>
      </w:tr>
      <w:tr w:rsidR="00F0762F" w:rsidRPr="00F0762F" w:rsidTr="004E3C2F">
        <w:tblPrEx>
          <w:tblCellMar>
            <w:top w:w="0" w:type="dxa"/>
            <w:bottom w:w="0" w:type="dxa"/>
          </w:tblCellMar>
        </w:tblPrEx>
        <w:tc>
          <w:tcPr>
            <w:tcW w:w="82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Б</w:t>
            </w:r>
          </w:p>
        </w:tc>
        <w:tc>
          <w:tcPr>
            <w:tcW w:w="162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0,2-0,45</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Высокий</w:t>
            </w:r>
          </w:p>
        </w:tc>
        <w:tc>
          <w:tcPr>
            <w:tcW w:w="360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Дополнительные полосы проезжей части на подъемах в верхней части. Выборочное улучшение видимости на участках обгонов. Канализированные пересечения с островками на второстепенной дороге.</w:t>
            </w:r>
          </w:p>
        </w:tc>
        <w:tc>
          <w:tcPr>
            <w:tcW w:w="3523"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Знаки рекомендуемых скоростей движения. Разметка, регулирующая возможность обгонов. Уширения для остановок автобусов с плавным обгоном.</w:t>
            </w:r>
          </w:p>
        </w:tc>
      </w:tr>
      <w:tr w:rsidR="00F0762F" w:rsidRPr="00F0762F" w:rsidTr="004E3C2F">
        <w:tblPrEx>
          <w:tblCellMar>
            <w:top w:w="0" w:type="dxa"/>
            <w:bottom w:w="0" w:type="dxa"/>
          </w:tblCellMar>
        </w:tblPrEx>
        <w:tc>
          <w:tcPr>
            <w:tcW w:w="82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w:t>
            </w:r>
          </w:p>
        </w:tc>
        <w:tc>
          <w:tcPr>
            <w:tcW w:w="162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0,45-0,7</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Опасно высокий</w:t>
            </w:r>
          </w:p>
        </w:tc>
        <w:tc>
          <w:tcPr>
            <w:tcW w:w="360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Канализированные пересечения или кольцевые пересечения в одном уровне. Дополнительные полосы на всей длине подъемов. Переходно-скоростные полосы на пересечениях в одном уровне.</w:t>
            </w:r>
          </w:p>
        </w:tc>
        <w:tc>
          <w:tcPr>
            <w:tcW w:w="3523"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Ограничение обгонов. Автобусные остановки, отделенные островком. Знаки над проезжей частью. Светофорное регулирование на особо опасных местах. Освещение опасных мест.</w:t>
            </w:r>
          </w:p>
        </w:tc>
      </w:tr>
      <w:tr w:rsidR="00F0762F" w:rsidRPr="00F0762F" w:rsidTr="004E3C2F">
        <w:tblPrEx>
          <w:tblCellMar>
            <w:top w:w="0" w:type="dxa"/>
            <w:bottom w:w="0" w:type="dxa"/>
          </w:tblCellMar>
        </w:tblPrEx>
        <w:tc>
          <w:tcPr>
            <w:tcW w:w="828" w:type="dxa"/>
            <w:tcBorders>
              <w:bottom w:val="nil"/>
            </w:tcBorders>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Г</w:t>
            </w:r>
          </w:p>
        </w:tc>
        <w:tc>
          <w:tcPr>
            <w:tcW w:w="1620" w:type="dxa"/>
            <w:tcBorders>
              <w:bottom w:val="nil"/>
            </w:tcBorders>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0,7-1</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Низкий</w:t>
            </w:r>
          </w:p>
        </w:tc>
        <w:tc>
          <w:tcPr>
            <w:tcW w:w="3600" w:type="dxa"/>
            <w:tcBorders>
              <w:bottom w:val="nil"/>
            </w:tcBorders>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Уширение дороги путем укладки покрытий на обочинах. Реконструкция участков, особенно опасных или имеющих низкую пропускную способность. Устройство пересечений в разных уровнях. Освещение дороги.</w:t>
            </w:r>
          </w:p>
        </w:tc>
        <w:tc>
          <w:tcPr>
            <w:tcW w:w="3523" w:type="dxa"/>
            <w:tcBorders>
              <w:bottom w:val="nil"/>
            </w:tcBorders>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Оперативное информирование водителей о возникновении опасных дорожных условий. Знаки рекомендуемых интервалов и  скоростей движения. Введение автоматизированной системы регулирования. Переключение движения </w:t>
            </w:r>
            <w:r w:rsidRPr="00F0762F">
              <w:rPr>
                <w:rFonts w:ascii="Times New Roman" w:eastAsia="Times New Roman" w:hAnsi="Times New Roman" w:cs="Times New Roman"/>
                <w:sz w:val="28"/>
                <w:szCs w:val="24"/>
                <w:lang w:eastAsia="ru-RU"/>
              </w:rPr>
              <w:lastRenderedPageBreak/>
              <w:t>или отдельных видов транспортных средств на параллельные маршруты.</w:t>
            </w:r>
          </w:p>
        </w:tc>
      </w:tr>
      <w:tr w:rsidR="00F0762F" w:rsidRPr="00F0762F" w:rsidTr="004E3C2F">
        <w:tblPrEx>
          <w:tblCellMar>
            <w:top w:w="0" w:type="dxa"/>
            <w:bottom w:w="0" w:type="dxa"/>
          </w:tblCellMar>
        </w:tblPrEx>
        <w:trPr>
          <w:cantSplit/>
        </w:trPr>
        <w:tc>
          <w:tcPr>
            <w:tcW w:w="9571" w:type="dxa"/>
            <w:gridSpan w:val="4"/>
            <w:tcBorders>
              <w:top w:val="nil"/>
            </w:tcBorders>
          </w:tcPr>
          <w:p w:rsidR="00F0762F" w:rsidRPr="00F0762F" w:rsidRDefault="00F0762F" w:rsidP="00F0762F">
            <w:pPr>
              <w:spacing w:after="0" w:line="240" w:lineRule="auto"/>
              <w:jc w:val="both"/>
              <w:rPr>
                <w:rFonts w:ascii="Times New Roman" w:eastAsia="Times New Roman" w:hAnsi="Times New Roman" w:cs="Times New Roman"/>
                <w:i/>
                <w:iCs/>
                <w:sz w:val="28"/>
                <w:szCs w:val="24"/>
                <w:lang w:eastAsia="ru-RU"/>
              </w:rPr>
            </w:pPr>
            <w:r w:rsidRPr="00F0762F">
              <w:rPr>
                <w:rFonts w:ascii="Times New Roman" w:eastAsia="Times New Roman" w:hAnsi="Times New Roman" w:cs="Times New Roman"/>
                <w:i/>
                <w:iCs/>
                <w:sz w:val="28"/>
                <w:szCs w:val="24"/>
                <w:lang w:eastAsia="ru-RU"/>
              </w:rPr>
              <w:lastRenderedPageBreak/>
              <w:t>Примечание: Мероприятия для каждого последующего уровня удобства движения или меньшего значения коэффициента безопасности включают и все мероприятия, предусмотренные для более благоприятных условий движения.</w:t>
            </w:r>
          </w:p>
        </w:tc>
      </w:tr>
    </w:tbl>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Для устранения отдельных трудных участков дорог и улучшения условий движения по ним можно руководствоваться рекомендациями таблицы 13.3.</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Таблица 13.3</w:t>
      </w:r>
    </w:p>
    <w:tbl>
      <w:tblPr>
        <w:tblW w:w="98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2"/>
        <w:gridCol w:w="2182"/>
        <w:gridCol w:w="2206"/>
        <w:gridCol w:w="1853"/>
        <w:gridCol w:w="2206"/>
      </w:tblGrid>
      <w:tr w:rsidR="00F0762F" w:rsidRPr="00F0762F" w:rsidTr="004E3C2F">
        <w:tblPrEx>
          <w:tblCellMar>
            <w:top w:w="0" w:type="dxa"/>
            <w:bottom w:w="0" w:type="dxa"/>
          </w:tblCellMar>
        </w:tblPrEx>
        <w:trPr>
          <w:cantSplit/>
        </w:trPr>
        <w:tc>
          <w:tcPr>
            <w:tcW w:w="1908" w:type="dxa"/>
            <w:vMerge w:val="restart"/>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Коэффициент загрузки</w:t>
            </w:r>
          </w:p>
        </w:tc>
        <w:tc>
          <w:tcPr>
            <w:tcW w:w="7899" w:type="dxa"/>
            <w:gridSpan w:val="4"/>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Мероприятия</w:t>
            </w:r>
          </w:p>
        </w:tc>
      </w:tr>
      <w:tr w:rsidR="00F0762F" w:rsidRPr="00F0762F" w:rsidTr="004E3C2F">
        <w:tblPrEx>
          <w:tblCellMar>
            <w:top w:w="0" w:type="dxa"/>
            <w:bottom w:w="0" w:type="dxa"/>
          </w:tblCellMar>
        </w:tblPrEx>
        <w:trPr>
          <w:cantSplit/>
        </w:trPr>
        <w:tc>
          <w:tcPr>
            <w:tcW w:w="1908" w:type="dxa"/>
            <w:vMerge/>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p>
        </w:tc>
        <w:tc>
          <w:tcPr>
            <w:tcW w:w="2156"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На подъемах</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На кривых в плане</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При ограничении видимости</w:t>
            </w:r>
          </w:p>
        </w:tc>
        <w:tc>
          <w:tcPr>
            <w:tcW w:w="1915"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 районе авт. Остановки</w:t>
            </w:r>
          </w:p>
        </w:tc>
      </w:tr>
      <w:tr w:rsidR="00F0762F" w:rsidRPr="00F0762F" w:rsidTr="004E3C2F">
        <w:tblPrEx>
          <w:tblCellMar>
            <w:top w:w="0" w:type="dxa"/>
            <w:bottom w:w="0" w:type="dxa"/>
          </w:tblCellMar>
        </w:tblPrEx>
        <w:tc>
          <w:tcPr>
            <w:tcW w:w="190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&lt;0.2</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p>
        </w:tc>
        <w:tc>
          <w:tcPr>
            <w:tcW w:w="2156"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Осевая разметка, установка ограждений</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Разметка проезжей части</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Осевая разметка с уширением каждой полосы на 1 м</w:t>
            </w:r>
          </w:p>
        </w:tc>
        <w:tc>
          <w:tcPr>
            <w:tcW w:w="1915"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Простой карман без отгонов ширины с площадкой для пассажиров</w:t>
            </w:r>
          </w:p>
        </w:tc>
      </w:tr>
      <w:tr w:rsidR="00F0762F" w:rsidRPr="00F0762F" w:rsidTr="004E3C2F">
        <w:tblPrEx>
          <w:tblCellMar>
            <w:top w:w="0" w:type="dxa"/>
            <w:bottom w:w="0" w:type="dxa"/>
          </w:tblCellMar>
        </w:tblPrEx>
        <w:tc>
          <w:tcPr>
            <w:tcW w:w="190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0.2-0.45</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p>
        </w:tc>
        <w:tc>
          <w:tcPr>
            <w:tcW w:w="2156"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Устройство </w:t>
            </w:r>
            <w:proofErr w:type="spellStart"/>
            <w:r w:rsidRPr="00F0762F">
              <w:rPr>
                <w:rFonts w:ascii="Times New Roman" w:eastAsia="Times New Roman" w:hAnsi="Times New Roman" w:cs="Times New Roman"/>
                <w:sz w:val="28"/>
                <w:szCs w:val="24"/>
                <w:lang w:eastAsia="ru-RU"/>
              </w:rPr>
              <w:t>уширений</w:t>
            </w:r>
            <w:proofErr w:type="spellEnd"/>
            <w:r w:rsidRPr="00F0762F">
              <w:rPr>
                <w:rFonts w:ascii="Times New Roman" w:eastAsia="Times New Roman" w:hAnsi="Times New Roman" w:cs="Times New Roman"/>
                <w:sz w:val="28"/>
                <w:szCs w:val="24"/>
                <w:lang w:eastAsia="ru-RU"/>
              </w:rPr>
              <w:t xml:space="preserve"> в верхней и нижней частях подъема с укреплением обочин</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Уширение проезжей части с разметкой, обеспечение видимости 700 м</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Устройство островка в пределах вертикальной кривой и укрепление обочин</w:t>
            </w:r>
          </w:p>
        </w:tc>
        <w:tc>
          <w:tcPr>
            <w:tcW w:w="1915"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Устройство отгонов ширины проезжей части</w:t>
            </w:r>
          </w:p>
        </w:tc>
      </w:tr>
      <w:tr w:rsidR="00F0762F" w:rsidRPr="00F0762F" w:rsidTr="004E3C2F">
        <w:tblPrEx>
          <w:tblCellMar>
            <w:top w:w="0" w:type="dxa"/>
            <w:bottom w:w="0" w:type="dxa"/>
          </w:tblCellMar>
        </w:tblPrEx>
        <w:tc>
          <w:tcPr>
            <w:tcW w:w="190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0.45-0.7</w:t>
            </w:r>
          </w:p>
        </w:tc>
        <w:tc>
          <w:tcPr>
            <w:tcW w:w="2156"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Устройство дополнительной полосы в пределах выпуклой вертикальной кривой</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Устройство разделительного островка по оси проезжей части</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p>
        </w:tc>
        <w:tc>
          <w:tcPr>
            <w:tcW w:w="1915"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Устройство разделительного островка</w:t>
            </w:r>
          </w:p>
        </w:tc>
      </w:tr>
      <w:tr w:rsidR="00F0762F" w:rsidRPr="00F0762F" w:rsidTr="004E3C2F">
        <w:tblPrEx>
          <w:tblCellMar>
            <w:top w:w="0" w:type="dxa"/>
            <w:bottom w:w="0" w:type="dxa"/>
          </w:tblCellMar>
        </w:tblPrEx>
        <w:tc>
          <w:tcPr>
            <w:tcW w:w="190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0.7-1</w:t>
            </w:r>
          </w:p>
        </w:tc>
        <w:tc>
          <w:tcPr>
            <w:tcW w:w="2156"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Устройство дополнительной полосы на </w:t>
            </w:r>
            <w:r w:rsidRPr="00F0762F">
              <w:rPr>
                <w:rFonts w:ascii="Times New Roman" w:eastAsia="Times New Roman" w:hAnsi="Times New Roman" w:cs="Times New Roman"/>
                <w:sz w:val="28"/>
                <w:szCs w:val="24"/>
                <w:lang w:eastAsia="ru-RU"/>
              </w:rPr>
              <w:lastRenderedPageBreak/>
              <w:t>протяжении всего подъема</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lastRenderedPageBreak/>
              <w:t>Увеличение радиуса кривой</w:t>
            </w:r>
          </w:p>
        </w:tc>
        <w:tc>
          <w:tcPr>
            <w:tcW w:w="1914"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Увеличение радиуса выпуклой </w:t>
            </w:r>
            <w:r w:rsidRPr="00F0762F">
              <w:rPr>
                <w:rFonts w:ascii="Times New Roman" w:eastAsia="Times New Roman" w:hAnsi="Times New Roman" w:cs="Times New Roman"/>
                <w:sz w:val="28"/>
                <w:szCs w:val="24"/>
                <w:lang w:eastAsia="ru-RU"/>
              </w:rPr>
              <w:lastRenderedPageBreak/>
              <w:t>вертикальной кривой</w:t>
            </w:r>
          </w:p>
        </w:tc>
        <w:tc>
          <w:tcPr>
            <w:tcW w:w="1915"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lastRenderedPageBreak/>
              <w:t xml:space="preserve">Установка ограждений для пешеходов, </w:t>
            </w:r>
            <w:r w:rsidRPr="00F0762F">
              <w:rPr>
                <w:rFonts w:ascii="Times New Roman" w:eastAsia="Times New Roman" w:hAnsi="Times New Roman" w:cs="Times New Roman"/>
                <w:sz w:val="28"/>
                <w:szCs w:val="24"/>
                <w:lang w:eastAsia="ru-RU"/>
              </w:rPr>
              <w:lastRenderedPageBreak/>
              <w:t>увеличение длины отгона с учетом встраивания в поток</w:t>
            </w:r>
          </w:p>
        </w:tc>
      </w:tr>
    </w:tbl>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Кроме уровня загрузки дороги движением необходимо учитывать и степень опасности отдельных участков дорог (таблица 13.4). </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Таблица 13.4</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8"/>
        <w:gridCol w:w="3240"/>
        <w:gridCol w:w="4783"/>
      </w:tblGrid>
      <w:tr w:rsidR="00F0762F" w:rsidRPr="00F0762F" w:rsidTr="004E3C2F">
        <w:tblPrEx>
          <w:tblCellMar>
            <w:top w:w="0" w:type="dxa"/>
            <w:bottom w:w="0" w:type="dxa"/>
          </w:tblCellMar>
        </w:tblPrEx>
        <w:tc>
          <w:tcPr>
            <w:tcW w:w="154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Коэффициент безопасности</w:t>
            </w:r>
          </w:p>
        </w:tc>
        <w:tc>
          <w:tcPr>
            <w:tcW w:w="324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Строительные и эксплуатационные мероприятия</w:t>
            </w:r>
          </w:p>
        </w:tc>
        <w:tc>
          <w:tcPr>
            <w:tcW w:w="4783"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Средства по организации движения</w:t>
            </w:r>
          </w:p>
        </w:tc>
      </w:tr>
      <w:tr w:rsidR="00F0762F" w:rsidRPr="00F0762F" w:rsidTr="004E3C2F">
        <w:tblPrEx>
          <w:tblCellMar>
            <w:top w:w="0" w:type="dxa"/>
            <w:bottom w:w="0" w:type="dxa"/>
          </w:tblCellMar>
        </w:tblPrEx>
        <w:tc>
          <w:tcPr>
            <w:tcW w:w="154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Свыше 0,8</w:t>
            </w:r>
          </w:p>
        </w:tc>
        <w:tc>
          <w:tcPr>
            <w:tcW w:w="324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Укрепление примыкающих к дороге съездов.</w:t>
            </w:r>
          </w:p>
        </w:tc>
        <w:tc>
          <w:tcPr>
            <w:tcW w:w="4783"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Осевая разметка проезжей части.</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p>
        </w:tc>
      </w:tr>
      <w:tr w:rsidR="00F0762F" w:rsidRPr="00F0762F" w:rsidTr="004E3C2F">
        <w:tblPrEx>
          <w:tblCellMar>
            <w:top w:w="0" w:type="dxa"/>
            <w:bottom w:w="0" w:type="dxa"/>
          </w:tblCellMar>
        </w:tblPrEx>
        <w:tc>
          <w:tcPr>
            <w:tcW w:w="154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0,6-0,8</w:t>
            </w:r>
          </w:p>
        </w:tc>
        <w:tc>
          <w:tcPr>
            <w:tcW w:w="324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Постройка тротуаров и велосипедных дорожек в населенных пунктах.</w:t>
            </w:r>
          </w:p>
        </w:tc>
        <w:tc>
          <w:tcPr>
            <w:tcW w:w="4783"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Выделение разметкой участков обгона в одном направлении. Дорожные знаки, предупреждающие об изменении дорожных условий. Направляющие столбики на кривых.</w:t>
            </w:r>
          </w:p>
        </w:tc>
      </w:tr>
      <w:tr w:rsidR="00F0762F" w:rsidRPr="00F0762F" w:rsidTr="004E3C2F">
        <w:tblPrEx>
          <w:tblCellMar>
            <w:top w:w="0" w:type="dxa"/>
            <w:bottom w:w="0" w:type="dxa"/>
          </w:tblCellMar>
        </w:tblPrEx>
        <w:tc>
          <w:tcPr>
            <w:tcW w:w="154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0,4-0,6</w:t>
            </w:r>
          </w:p>
        </w:tc>
        <w:tc>
          <w:tcPr>
            <w:tcW w:w="324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Устройство шероховатых поверхностных обработок, срезок видимости в плане, канализированных или кольцевых пересечений.</w:t>
            </w:r>
          </w:p>
        </w:tc>
        <w:tc>
          <w:tcPr>
            <w:tcW w:w="4783"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Разметка, запрещающая обгон в обоих направлениях. Знаки ограничения скорости. Ограждения на обочинах.</w:t>
            </w:r>
          </w:p>
        </w:tc>
      </w:tr>
      <w:tr w:rsidR="00F0762F" w:rsidRPr="00F0762F" w:rsidTr="004E3C2F">
        <w:tblPrEx>
          <w:tblCellMar>
            <w:top w:w="0" w:type="dxa"/>
            <w:bottom w:w="0" w:type="dxa"/>
          </w:tblCellMar>
        </w:tblPrEx>
        <w:tc>
          <w:tcPr>
            <w:tcW w:w="1548"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Менее 0,4</w:t>
            </w:r>
          </w:p>
        </w:tc>
        <w:tc>
          <w:tcPr>
            <w:tcW w:w="3240"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Регулярный контроль коэффициента сцепления и восстановление поверхностных обработок. Устройство шумовых или трясущих полос.</w:t>
            </w:r>
          </w:p>
        </w:tc>
        <w:tc>
          <w:tcPr>
            <w:tcW w:w="4783" w:type="dxa"/>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Индивидуальные знаки перед очень опасными местами. Установка зеркал или устройство возвышающихся разделительных полос на кривых малых радиусов при невозможности устройства срезок видимости. Разметка и знаки, запрещающие стоянку.</w:t>
            </w:r>
          </w:p>
        </w:tc>
      </w:tr>
    </w:tbl>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Таким образом, для выбора средств регулирования движения с учетом особенностей их применения на дорогах с различными уровнями удобства можно рекомендовать:</w:t>
      </w:r>
    </w:p>
    <w:p w:rsidR="00F0762F" w:rsidRPr="00F0762F" w:rsidRDefault="00F0762F" w:rsidP="00F0762F">
      <w:pPr>
        <w:numPr>
          <w:ilvl w:val="0"/>
          <w:numId w:val="1"/>
        </w:numPr>
        <w:spacing w:after="0" w:line="312"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построение линейного графика пропускной способности;</w:t>
      </w:r>
    </w:p>
    <w:p w:rsidR="00F0762F" w:rsidRPr="00F0762F" w:rsidRDefault="00F0762F" w:rsidP="00F0762F">
      <w:pPr>
        <w:numPr>
          <w:ilvl w:val="0"/>
          <w:numId w:val="1"/>
        </w:numPr>
        <w:spacing w:after="0" w:line="312"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lastRenderedPageBreak/>
        <w:t>построение линейного графика коэффициента загрузки;</w:t>
      </w:r>
    </w:p>
    <w:p w:rsidR="00F0762F" w:rsidRPr="00F0762F" w:rsidRDefault="00F0762F" w:rsidP="00F0762F">
      <w:pPr>
        <w:numPr>
          <w:ilvl w:val="0"/>
          <w:numId w:val="1"/>
        </w:numPr>
        <w:spacing w:after="0" w:line="312"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xml:space="preserve">выделение характерных </w:t>
      </w:r>
      <w:proofErr w:type="gramStart"/>
      <w:r w:rsidRPr="00F0762F">
        <w:rPr>
          <w:rFonts w:ascii="Times New Roman" w:eastAsia="Times New Roman" w:hAnsi="Times New Roman" w:cs="Times New Roman"/>
          <w:sz w:val="28"/>
          <w:szCs w:val="24"/>
          <w:lang w:eastAsia="ru-RU"/>
        </w:rPr>
        <w:t>уровней удобства движения отдельных участков дороги</w:t>
      </w:r>
      <w:proofErr w:type="gramEnd"/>
      <w:r w:rsidRPr="00F0762F">
        <w:rPr>
          <w:rFonts w:ascii="Times New Roman" w:eastAsia="Times New Roman" w:hAnsi="Times New Roman" w:cs="Times New Roman"/>
          <w:sz w:val="28"/>
          <w:szCs w:val="24"/>
          <w:lang w:eastAsia="ru-RU"/>
        </w:rPr>
        <w:t>;</w:t>
      </w:r>
    </w:p>
    <w:p w:rsidR="00F0762F" w:rsidRPr="00F0762F" w:rsidRDefault="00F0762F" w:rsidP="00F0762F">
      <w:pPr>
        <w:numPr>
          <w:ilvl w:val="0"/>
          <w:numId w:val="1"/>
        </w:numPr>
        <w:spacing w:after="0" w:line="312"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построение линейных графиков коэффициентов аварийности и безопасности;</w:t>
      </w:r>
    </w:p>
    <w:p w:rsidR="00F0762F" w:rsidRPr="00F0762F" w:rsidRDefault="00F0762F" w:rsidP="00F0762F">
      <w:pPr>
        <w:numPr>
          <w:ilvl w:val="0"/>
          <w:numId w:val="1"/>
        </w:numPr>
        <w:spacing w:after="0" w:line="312"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выбор средств организации движения с учетом рекомендаций таблиц 13.2, 13.3 и 13.4.</w:t>
      </w:r>
    </w:p>
    <w:p w:rsidR="00F0762F" w:rsidRPr="00F0762F" w:rsidRDefault="00F0762F" w:rsidP="00F0762F">
      <w:pPr>
        <w:spacing w:after="0" w:line="312"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Выбор и применение всех средств регулирования с учетом загрузки дорог движением, степени опасности отдельных участков дороги, состава потока и скоростей движения позволяют существенно повысить безопасность движения и улучшить условия движения на АД.</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В таблице 13.5 приведены данные об эффективности мероприятий по ОДД.</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Таблица 13.5</w:t>
      </w: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331"/>
        <w:gridCol w:w="216"/>
        <w:gridCol w:w="1290"/>
        <w:gridCol w:w="216"/>
        <w:gridCol w:w="1518"/>
      </w:tblGrid>
      <w:tr w:rsidR="00F0762F" w:rsidRPr="00F0762F" w:rsidTr="004E3C2F">
        <w:tblPrEx>
          <w:tblCellMar>
            <w:top w:w="0" w:type="dxa"/>
            <w:bottom w:w="0" w:type="dxa"/>
          </w:tblCellMar>
        </w:tblPrEx>
        <w:tc>
          <w:tcPr>
            <w:tcW w:w="6576"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Мероприятие</w:t>
            </w:r>
          </w:p>
        </w:tc>
        <w:tc>
          <w:tcPr>
            <w:tcW w:w="1550" w:type="dxa"/>
            <w:gridSpan w:val="2"/>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Снижение количества ДТП, %</w:t>
            </w:r>
          </w:p>
        </w:tc>
        <w:tc>
          <w:tcPr>
            <w:tcW w:w="1445" w:type="dxa"/>
            <w:gridSpan w:val="2"/>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Снижение тяжести последствий, %</w:t>
            </w:r>
          </w:p>
        </w:tc>
      </w:tr>
      <w:tr w:rsidR="00F0762F" w:rsidRPr="00F0762F" w:rsidTr="004E3C2F">
        <w:tblPrEx>
          <w:tblCellMar>
            <w:top w:w="0" w:type="dxa"/>
            <w:bottom w:w="0" w:type="dxa"/>
          </w:tblCellMar>
        </w:tblPrEx>
        <w:trPr>
          <w:cantSplit/>
        </w:trPr>
        <w:tc>
          <w:tcPr>
            <w:tcW w:w="9571" w:type="dxa"/>
            <w:gridSpan w:val="5"/>
          </w:tcPr>
          <w:p w:rsidR="00F0762F" w:rsidRPr="00F0762F" w:rsidRDefault="00F0762F" w:rsidP="00F0762F">
            <w:pPr>
              <w:spacing w:after="0" w:line="240" w:lineRule="auto"/>
              <w:jc w:val="center"/>
              <w:rPr>
                <w:rFonts w:ascii="Times New Roman" w:eastAsia="Times New Roman" w:hAnsi="Times New Roman" w:cs="Times New Roman"/>
                <w:i/>
                <w:iCs/>
                <w:sz w:val="28"/>
                <w:szCs w:val="24"/>
                <w:lang w:eastAsia="ru-RU"/>
              </w:rPr>
            </w:pPr>
            <w:r w:rsidRPr="00F0762F">
              <w:rPr>
                <w:rFonts w:ascii="Times New Roman" w:eastAsia="Times New Roman" w:hAnsi="Times New Roman" w:cs="Times New Roman"/>
                <w:i/>
                <w:iCs/>
                <w:sz w:val="28"/>
                <w:szCs w:val="24"/>
                <w:lang w:eastAsia="ru-RU"/>
              </w:rPr>
              <w:t>Организация движения вне населенных пунктов</w:t>
            </w:r>
          </w:p>
        </w:tc>
      </w:tr>
      <w:tr w:rsidR="00F0762F" w:rsidRPr="00F0762F" w:rsidTr="004E3C2F">
        <w:tblPrEx>
          <w:tblCellMar>
            <w:top w:w="0" w:type="dxa"/>
            <w:bottom w:w="0" w:type="dxa"/>
          </w:tblCellMar>
        </w:tblPrEx>
        <w:trPr>
          <w:cantSplit/>
        </w:trPr>
        <w:tc>
          <w:tcPr>
            <w:tcW w:w="6600" w:type="dxa"/>
            <w:gridSpan w:val="2"/>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Установка дорожных знаков:</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в среднем……………………………………………..</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«Движение без остановки запрещено»  и «главная    дорога» в застроенных местах……………………….</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то же, в незастроенных местах……………………...</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примыканиях дорог………………………………</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кривых с ограниченной видимостью……………</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пересечениях……………………………………...</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Устройство разметки:</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мостах……………………………………………..</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осевой и краевых на прямых………………………..</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то же, на кривых…………………………………….</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пересечениях……………………………………..</w:t>
            </w:r>
          </w:p>
          <w:p w:rsidR="00F0762F" w:rsidRPr="00F0762F" w:rsidRDefault="00F0762F" w:rsidP="00F0762F">
            <w:pPr>
              <w:spacing w:after="0" w:line="240" w:lineRule="auto"/>
              <w:ind w:left="180" w:hanging="180"/>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Установка знаков, нанесение разметки</w:t>
            </w:r>
          </w:p>
        </w:tc>
        <w:tc>
          <w:tcPr>
            <w:tcW w:w="1620" w:type="dxa"/>
            <w:gridSpan w:val="2"/>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20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19</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30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16</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20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36</w:t>
            </w:r>
          </w:p>
        </w:tc>
        <w:tc>
          <w:tcPr>
            <w:tcW w:w="1351"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75</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50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30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7</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22</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16-19</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25</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12</w:t>
            </w:r>
          </w:p>
        </w:tc>
      </w:tr>
      <w:tr w:rsidR="00F0762F" w:rsidRPr="00F0762F" w:rsidTr="004E3C2F">
        <w:tblPrEx>
          <w:tblCellMar>
            <w:top w:w="0" w:type="dxa"/>
            <w:bottom w:w="0" w:type="dxa"/>
          </w:tblCellMar>
        </w:tblPrEx>
        <w:trPr>
          <w:cantSplit/>
        </w:trPr>
        <w:tc>
          <w:tcPr>
            <w:tcW w:w="9571" w:type="dxa"/>
            <w:gridSpan w:val="5"/>
          </w:tcPr>
          <w:p w:rsidR="00F0762F" w:rsidRPr="00F0762F" w:rsidRDefault="00F0762F" w:rsidP="00F0762F">
            <w:pPr>
              <w:spacing w:after="0" w:line="240" w:lineRule="auto"/>
              <w:jc w:val="center"/>
              <w:rPr>
                <w:rFonts w:ascii="Times New Roman" w:eastAsia="Times New Roman" w:hAnsi="Times New Roman" w:cs="Times New Roman"/>
                <w:i/>
                <w:iCs/>
                <w:sz w:val="28"/>
                <w:szCs w:val="24"/>
                <w:lang w:eastAsia="ru-RU"/>
              </w:rPr>
            </w:pPr>
            <w:r w:rsidRPr="00F0762F">
              <w:rPr>
                <w:rFonts w:ascii="Times New Roman" w:eastAsia="Times New Roman" w:hAnsi="Times New Roman" w:cs="Times New Roman"/>
                <w:i/>
                <w:iCs/>
                <w:sz w:val="28"/>
                <w:szCs w:val="24"/>
                <w:lang w:eastAsia="ru-RU"/>
              </w:rPr>
              <w:lastRenderedPageBreak/>
              <w:t>Оборудование дороги</w:t>
            </w:r>
          </w:p>
        </w:tc>
      </w:tr>
      <w:tr w:rsidR="00F0762F" w:rsidRPr="00F0762F" w:rsidTr="004E3C2F">
        <w:tblPrEx>
          <w:tblCellMar>
            <w:top w:w="0" w:type="dxa"/>
            <w:bottom w:w="0" w:type="dxa"/>
          </w:tblCellMar>
        </w:tblPrEx>
        <w:trPr>
          <w:cantSplit/>
        </w:trPr>
        <w:tc>
          <w:tcPr>
            <w:tcW w:w="6600" w:type="dxa"/>
            <w:gridSpan w:val="2"/>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Установка ограждений:</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кривых…………………………………………….</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мостах……………………………………………..</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  на спусках……………………………………………</w:t>
            </w:r>
          </w:p>
        </w:tc>
        <w:tc>
          <w:tcPr>
            <w:tcW w:w="1620" w:type="dxa"/>
            <w:gridSpan w:val="2"/>
          </w:tcPr>
          <w:p w:rsidR="00F0762F" w:rsidRPr="00F0762F" w:rsidRDefault="00F0762F" w:rsidP="00F0762F">
            <w:pPr>
              <w:spacing w:after="0" w:line="240" w:lineRule="auto"/>
              <w:jc w:val="center"/>
              <w:rPr>
                <w:rFonts w:ascii="Times New Roman" w:eastAsia="Times New Roman" w:hAnsi="Times New Roman" w:cs="Times New Roman"/>
                <w:i/>
                <w:iCs/>
                <w:sz w:val="28"/>
                <w:szCs w:val="24"/>
                <w:lang w:eastAsia="ru-RU"/>
              </w:rPr>
            </w:pPr>
          </w:p>
        </w:tc>
        <w:tc>
          <w:tcPr>
            <w:tcW w:w="1351"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30</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12</w:t>
            </w:r>
          </w:p>
        </w:tc>
      </w:tr>
      <w:tr w:rsidR="00F0762F" w:rsidRPr="00F0762F" w:rsidTr="004E3C2F">
        <w:tblPrEx>
          <w:tblCellMar>
            <w:top w:w="0" w:type="dxa"/>
            <w:bottom w:w="0" w:type="dxa"/>
          </w:tblCellMar>
        </w:tblPrEx>
        <w:trPr>
          <w:cantSplit/>
        </w:trPr>
        <w:tc>
          <w:tcPr>
            <w:tcW w:w="9571" w:type="dxa"/>
            <w:gridSpan w:val="5"/>
          </w:tcPr>
          <w:p w:rsidR="00F0762F" w:rsidRPr="00F0762F" w:rsidRDefault="00F0762F" w:rsidP="00F0762F">
            <w:pPr>
              <w:spacing w:after="0" w:line="240" w:lineRule="auto"/>
              <w:jc w:val="center"/>
              <w:rPr>
                <w:rFonts w:ascii="Times New Roman" w:eastAsia="Times New Roman" w:hAnsi="Times New Roman" w:cs="Times New Roman"/>
                <w:i/>
                <w:iCs/>
                <w:sz w:val="28"/>
                <w:szCs w:val="24"/>
                <w:lang w:eastAsia="ru-RU"/>
              </w:rPr>
            </w:pPr>
            <w:r w:rsidRPr="00F0762F">
              <w:rPr>
                <w:rFonts w:ascii="Times New Roman" w:eastAsia="Times New Roman" w:hAnsi="Times New Roman" w:cs="Times New Roman"/>
                <w:i/>
                <w:iCs/>
                <w:sz w:val="28"/>
                <w:szCs w:val="24"/>
                <w:lang w:eastAsia="ru-RU"/>
              </w:rPr>
              <w:t>Организация движения в населенных пунктах</w:t>
            </w:r>
          </w:p>
        </w:tc>
      </w:tr>
      <w:tr w:rsidR="00F0762F" w:rsidRPr="00F0762F" w:rsidTr="004E3C2F">
        <w:tblPrEx>
          <w:tblCellMar>
            <w:top w:w="0" w:type="dxa"/>
            <w:bottom w:w="0" w:type="dxa"/>
          </w:tblCellMar>
        </w:tblPrEx>
        <w:trPr>
          <w:cantSplit/>
        </w:trPr>
        <w:tc>
          <w:tcPr>
            <w:tcW w:w="6600" w:type="dxa"/>
            <w:gridSpan w:val="2"/>
          </w:tcPr>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Ограничение скорости…………………………………</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Оборудование стояночных площадок………………..</w:t>
            </w:r>
          </w:p>
          <w:p w:rsidR="00F0762F" w:rsidRPr="00F0762F" w:rsidRDefault="00F0762F" w:rsidP="00F0762F">
            <w:pPr>
              <w:spacing w:after="0" w:line="240" w:lineRule="auto"/>
              <w:jc w:val="both"/>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Освещение………………………………………………</w:t>
            </w:r>
          </w:p>
        </w:tc>
        <w:tc>
          <w:tcPr>
            <w:tcW w:w="1620" w:type="dxa"/>
            <w:gridSpan w:val="2"/>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58</w:t>
            </w:r>
          </w:p>
        </w:tc>
        <w:tc>
          <w:tcPr>
            <w:tcW w:w="1351" w:type="dxa"/>
          </w:tcPr>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16</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15</w:t>
            </w:r>
          </w:p>
          <w:p w:rsidR="00F0762F" w:rsidRPr="00F0762F" w:rsidRDefault="00F0762F" w:rsidP="00F0762F">
            <w:pPr>
              <w:spacing w:after="0" w:line="240" w:lineRule="auto"/>
              <w:jc w:val="center"/>
              <w:rPr>
                <w:rFonts w:ascii="Times New Roman" w:eastAsia="Times New Roman" w:hAnsi="Times New Roman" w:cs="Times New Roman"/>
                <w:sz w:val="28"/>
                <w:szCs w:val="24"/>
                <w:lang w:eastAsia="ru-RU"/>
              </w:rPr>
            </w:pPr>
            <w:r w:rsidRPr="00F0762F">
              <w:rPr>
                <w:rFonts w:ascii="Times New Roman" w:eastAsia="Times New Roman" w:hAnsi="Times New Roman" w:cs="Times New Roman"/>
                <w:sz w:val="28"/>
                <w:szCs w:val="24"/>
                <w:lang w:eastAsia="ru-RU"/>
              </w:rPr>
              <w:t>17</w:t>
            </w:r>
          </w:p>
        </w:tc>
      </w:tr>
    </w:tbl>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F0762F" w:rsidRPr="00F0762F" w:rsidRDefault="00F0762F" w:rsidP="00F0762F">
      <w:pPr>
        <w:spacing w:after="0" w:line="240" w:lineRule="auto"/>
        <w:ind w:firstLine="720"/>
        <w:jc w:val="both"/>
        <w:rPr>
          <w:rFonts w:ascii="Times New Roman" w:eastAsia="Times New Roman" w:hAnsi="Times New Roman" w:cs="Times New Roman"/>
          <w:sz w:val="28"/>
          <w:szCs w:val="24"/>
          <w:lang w:eastAsia="ru-RU"/>
        </w:rPr>
      </w:pPr>
    </w:p>
    <w:p w:rsidR="00BC24F1" w:rsidRDefault="00BC24F1"/>
    <w:sectPr w:rsidR="00BC24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172B1"/>
    <w:multiLevelType w:val="multilevel"/>
    <w:tmpl w:val="667C078A"/>
    <w:lvl w:ilvl="0">
      <w:start w:val="14"/>
      <w:numFmt w:val="decimal"/>
      <w:lvlText w:val="%1"/>
      <w:lvlJc w:val="left"/>
      <w:pPr>
        <w:tabs>
          <w:tab w:val="num" w:pos="570"/>
        </w:tabs>
        <w:ind w:left="570" w:hanging="57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
    <w:nsid w:val="4D2D0EE6"/>
    <w:multiLevelType w:val="hybridMultilevel"/>
    <w:tmpl w:val="B00C65BE"/>
    <w:lvl w:ilvl="0" w:tplc="249CDBAA">
      <w:start w:val="1"/>
      <w:numFmt w:val="bullet"/>
      <w:lvlText w:val="-"/>
      <w:lvlJc w:val="left"/>
      <w:pPr>
        <w:tabs>
          <w:tab w:val="num" w:pos="1935"/>
        </w:tabs>
        <w:ind w:left="1935" w:hanging="1215"/>
      </w:pPr>
      <w:rPr>
        <w:rFonts w:ascii="Times New Roman" w:eastAsia="Times New Roman" w:hAnsi="Times New Roman"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cs="Times New Roman" w:hint="default"/>
      </w:rPr>
    </w:lvl>
    <w:lvl w:ilvl="3" w:tplc="04190001">
      <w:start w:val="1"/>
      <w:numFmt w:val="bullet"/>
      <w:lvlText w:val=""/>
      <w:lvlJc w:val="left"/>
      <w:pPr>
        <w:tabs>
          <w:tab w:val="num" w:pos="3240"/>
        </w:tabs>
        <w:ind w:left="3240" w:hanging="360"/>
      </w:pPr>
      <w:rPr>
        <w:rFonts w:ascii="Symbol" w:hAnsi="Symbol" w:cs="Times New Roman"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cs="Times New Roman" w:hint="default"/>
      </w:rPr>
    </w:lvl>
    <w:lvl w:ilvl="6" w:tplc="04190001">
      <w:start w:val="1"/>
      <w:numFmt w:val="bullet"/>
      <w:lvlText w:val=""/>
      <w:lvlJc w:val="left"/>
      <w:pPr>
        <w:tabs>
          <w:tab w:val="num" w:pos="5400"/>
        </w:tabs>
        <w:ind w:left="5400" w:hanging="360"/>
      </w:pPr>
      <w:rPr>
        <w:rFonts w:ascii="Symbol" w:hAnsi="Symbol" w:cs="Times New Roman"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cs="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604"/>
    <w:rsid w:val="00917604"/>
    <w:rsid w:val="00BC24F1"/>
    <w:rsid w:val="00F076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3166</Words>
  <Characters>18051</Characters>
  <Application>Microsoft Office Word</Application>
  <DocSecurity>0</DocSecurity>
  <Lines>150</Lines>
  <Paragraphs>42</Paragraphs>
  <ScaleCrop>false</ScaleCrop>
  <Company>SPecialiST RePack</Company>
  <LinksUpToDate>false</LinksUpToDate>
  <CharactersWithSpaces>21175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Гульнур Конарбаева</dc:creator>
  <cp:keywords/>
  <dc:description/>
  <cp:lastModifiedBy>Гульнур Конарбаева</cp:lastModifiedBy>
  <cp:revision>2</cp:revision>
  <dcterms:created xsi:type="dcterms:W3CDTF">2020-12-28T04:22:00Z</dcterms:created>
  <dcterms:modified xsi:type="dcterms:W3CDTF">2020-12-28T04:23:00Z</dcterms:modified>
</cp:coreProperties>
</file>