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5EEE" w:rsidRPr="00B45EEE" w:rsidRDefault="00B45EEE" w:rsidP="00B45EEE">
      <w:pPr>
        <w:keepNext/>
        <w:keepLines/>
        <w:widowControl w:val="0"/>
        <w:numPr>
          <w:ilvl w:val="1"/>
          <w:numId w:val="1"/>
        </w:numPr>
        <w:tabs>
          <w:tab w:val="left" w:pos="1552"/>
        </w:tabs>
        <w:spacing w:after="206" w:line="220" w:lineRule="exact"/>
        <w:jc w:val="both"/>
        <w:outlineLvl w:val="3"/>
        <w:rPr>
          <w:rFonts w:ascii="Times New Roman" w:eastAsia="Times New Roman" w:hAnsi="Times New Roman" w:cs="Times New Roman"/>
          <w:b/>
          <w:bCs/>
          <w:color w:val="000000"/>
          <w:lang w:eastAsia="ru-RU" w:bidi="ru-RU"/>
        </w:rPr>
      </w:pPr>
      <w:bookmarkStart w:id="0" w:name="bookmark7"/>
      <w:r w:rsidRPr="00B45EEE">
        <w:rPr>
          <w:rFonts w:ascii="Times New Roman" w:eastAsia="Times New Roman" w:hAnsi="Times New Roman" w:cs="Times New Roman"/>
          <w:b/>
          <w:bCs/>
          <w:color w:val="000000"/>
          <w:lang w:eastAsia="ru-RU" w:bidi="ru-RU"/>
        </w:rPr>
        <w:t>Гидравлические вяжущие вещества</w:t>
      </w:r>
      <w:bookmarkEnd w:id="0"/>
    </w:p>
    <w:p w:rsidR="00B45EEE" w:rsidRPr="00B45EEE" w:rsidRDefault="00B45EEE" w:rsidP="00B45EEE">
      <w:pPr>
        <w:widowControl w:val="0"/>
        <w:spacing w:after="204"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К гидравлическим вяжущим веществам относятся силикатные цементы (цементы на основе портландцемента), алюминатный (глиноземистый) цемент, романцемент и гидравлическая известь. В отличие от воздушных вяжущих, имеющих пониженную водостойкость, гидравлические вяжущие вещества с успехом твердеют как на воздухе, так и в воде. Этот факт очень важен и позволяет относить материалы на основе гидравлических вяжущих к более высокой качественной категории, чем материалы на воздушных вяжущих.</w:t>
      </w:r>
    </w:p>
    <w:p w:rsidR="00B45EEE" w:rsidRPr="00B45EEE" w:rsidRDefault="00B45EEE" w:rsidP="00B45EEE">
      <w:pPr>
        <w:widowControl w:val="0"/>
        <w:spacing w:after="215" w:line="200" w:lineRule="exact"/>
        <w:jc w:val="center"/>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2.2.1. Портландцемент и его свойства</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Портландцементом называется гидравлическое вяжущее вещество, полученное тонким помолом клинкера и гипса. Портландцементный клинкер получают в свою очередь обжигом до спекания известняково</w:t>
      </w:r>
      <w:r w:rsidRPr="00B45EEE">
        <w:rPr>
          <w:rFonts w:ascii="Times New Roman" w:eastAsia="Times New Roman" w:hAnsi="Times New Roman" w:cs="Times New Roman"/>
          <w:color w:val="000000"/>
          <w:sz w:val="20"/>
          <w:szCs w:val="20"/>
          <w:lang w:eastAsia="ru-RU" w:bidi="ru-RU"/>
        </w:rPr>
        <w:softHyphen/>
        <w:t>глинистой сырьевой смеси. Добавка гипса (в количестве 3...5 % от общей массы измельчаемого материала) регулирует сроки схватывания цемента и является обязательной при получении любой разновидности портландцемента. Без гипса получается мгновенно схватывающийся цемент (быстряк), из него невозможно приготовить тесто.</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Словом «цемент» древние римляне называли дробленый камень, щебень. Позднее этот термин перешел в название самого распространенного в настоящее время вяжущего.</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 xml:space="preserve">Фазовый состав клинкера. Основными клинкерными минералами являются </w:t>
      </w:r>
      <w:r w:rsidRPr="00B45EEE">
        <w:rPr>
          <w:rFonts w:ascii="Times New Roman" w:eastAsia="Times New Roman" w:hAnsi="Times New Roman" w:cs="Times New Roman"/>
          <w:i/>
          <w:iCs/>
          <w:color w:val="000000"/>
          <w:sz w:val="20"/>
          <w:szCs w:val="20"/>
          <w:lang w:eastAsia="ru-RU" w:bidi="ru-RU"/>
        </w:rPr>
        <w:t>алит</w:t>
      </w:r>
      <w:r w:rsidRPr="00B45EEE">
        <w:rPr>
          <w:rFonts w:ascii="Times New Roman" w:eastAsia="Times New Roman" w:hAnsi="Times New Roman" w:cs="Times New Roman"/>
          <w:color w:val="000000"/>
          <w:sz w:val="20"/>
          <w:szCs w:val="20"/>
          <w:lang w:eastAsia="ru-RU" w:bidi="ru-RU"/>
        </w:rPr>
        <w:t xml:space="preserve"> и </w:t>
      </w:r>
      <w:r w:rsidRPr="00B45EEE">
        <w:rPr>
          <w:rFonts w:ascii="Times New Roman" w:eastAsia="Times New Roman" w:hAnsi="Times New Roman" w:cs="Times New Roman"/>
          <w:i/>
          <w:iCs/>
          <w:color w:val="000000"/>
          <w:sz w:val="20"/>
          <w:szCs w:val="20"/>
          <w:lang w:eastAsia="ru-RU" w:bidi="ru-RU"/>
        </w:rPr>
        <w:t>белит.</w:t>
      </w:r>
      <w:r w:rsidRPr="00B45EEE">
        <w:rPr>
          <w:rFonts w:ascii="Times New Roman" w:eastAsia="Times New Roman" w:hAnsi="Times New Roman" w:cs="Times New Roman"/>
          <w:color w:val="000000"/>
          <w:sz w:val="20"/>
          <w:szCs w:val="20"/>
          <w:lang w:eastAsia="ru-RU" w:bidi="ru-RU"/>
        </w:rPr>
        <w:t xml:space="preserve"> Это минералы-силикаты, состав и строение которых во многом определяет свойства портландцемента. Кроме этих минералов клинкер содержит так называемую промежуточную фазу, которая состоит из кристаллов </w:t>
      </w:r>
      <w:r w:rsidRPr="00B45EEE">
        <w:rPr>
          <w:rFonts w:ascii="Times New Roman" w:eastAsia="Times New Roman" w:hAnsi="Times New Roman" w:cs="Times New Roman"/>
          <w:i/>
          <w:iCs/>
          <w:color w:val="000000"/>
          <w:sz w:val="20"/>
          <w:szCs w:val="20"/>
          <w:lang w:eastAsia="ru-RU" w:bidi="ru-RU"/>
        </w:rPr>
        <w:t>трехкальциевого алюмината</w:t>
      </w:r>
      <w:r w:rsidRPr="00B45EEE">
        <w:rPr>
          <w:rFonts w:ascii="Times New Roman" w:eastAsia="Times New Roman" w:hAnsi="Times New Roman" w:cs="Times New Roman"/>
          <w:color w:val="000000"/>
          <w:sz w:val="20"/>
          <w:szCs w:val="20"/>
          <w:lang w:eastAsia="ru-RU" w:bidi="ru-RU"/>
        </w:rPr>
        <w:t xml:space="preserve"> и </w:t>
      </w:r>
      <w:r w:rsidRPr="00B45EEE">
        <w:rPr>
          <w:rFonts w:ascii="Times New Roman" w:eastAsia="Times New Roman" w:hAnsi="Times New Roman" w:cs="Times New Roman"/>
          <w:i/>
          <w:iCs/>
          <w:color w:val="000000"/>
          <w:sz w:val="20"/>
          <w:szCs w:val="20"/>
          <w:lang w:eastAsia="ru-RU" w:bidi="ru-RU"/>
        </w:rPr>
        <w:t>четырехкальциевого алюмоферрита</w:t>
      </w:r>
      <w:r w:rsidRPr="00B45EEE">
        <w:rPr>
          <w:rFonts w:ascii="Times New Roman" w:eastAsia="Times New Roman" w:hAnsi="Times New Roman" w:cs="Times New Roman"/>
          <w:color w:val="000000"/>
          <w:sz w:val="20"/>
          <w:szCs w:val="20"/>
          <w:lang w:eastAsia="ru-RU" w:bidi="ru-RU"/>
        </w:rPr>
        <w:t xml:space="preserve"> (минералы-плавни) и аморфной </w:t>
      </w:r>
      <w:r w:rsidRPr="00B45EEE">
        <w:rPr>
          <w:rFonts w:ascii="Times New Roman" w:eastAsia="Times New Roman" w:hAnsi="Times New Roman" w:cs="Times New Roman"/>
          <w:i/>
          <w:iCs/>
          <w:color w:val="000000"/>
          <w:sz w:val="20"/>
          <w:szCs w:val="20"/>
          <w:lang w:eastAsia="ru-RU" w:bidi="ru-RU"/>
        </w:rPr>
        <w:t>стеклофазы.</w:t>
      </w:r>
      <w:r w:rsidRPr="00B45EEE">
        <w:rPr>
          <w:rFonts w:ascii="Times New Roman" w:eastAsia="Times New Roman" w:hAnsi="Times New Roman" w:cs="Times New Roman"/>
          <w:color w:val="000000"/>
          <w:sz w:val="20"/>
          <w:szCs w:val="20"/>
          <w:lang w:eastAsia="ru-RU" w:bidi="ru-RU"/>
        </w:rPr>
        <w:t xml:space="preserve"> Все названные фазы представляют собой не чистые минералы, а твердые растворы, состав и строение которых зависят от состава сырьевой смеси, тонкости помола, режима обжига и других факторов.</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Алит</w:t>
      </w:r>
      <w:r w:rsidRPr="00B45EEE">
        <w:rPr>
          <w:rFonts w:ascii="Times New Roman" w:eastAsia="Times New Roman" w:hAnsi="Times New Roman" w:cs="Times New Roman"/>
          <w:color w:val="000000"/>
          <w:sz w:val="20"/>
          <w:szCs w:val="20"/>
          <w:lang w:eastAsia="ru-RU" w:bidi="ru-RU"/>
        </w:rPr>
        <w:t xml:space="preserve"> (трехкальциевый силикат). Полная формула 3СаО- </w:t>
      </w:r>
      <w:r w:rsidRPr="00B45EEE">
        <w:rPr>
          <w:rFonts w:ascii="Times New Roman" w:eastAsia="Times New Roman" w:hAnsi="Times New Roman" w:cs="Times New Roman"/>
          <w:color w:val="000000"/>
          <w:sz w:val="20"/>
          <w:szCs w:val="20"/>
          <w:lang w:val="en-US" w:bidi="en-US"/>
        </w:rPr>
        <w:t>SiO</w:t>
      </w:r>
      <w:r w:rsidRPr="00B45EEE">
        <w:rPr>
          <w:rFonts w:ascii="Times New Roman" w:eastAsia="Times New Roman" w:hAnsi="Times New Roman" w:cs="Times New Roman"/>
          <w:color w:val="000000"/>
          <w:sz w:val="20"/>
          <w:szCs w:val="20"/>
          <w:vertAlign w:val="subscript"/>
          <w:lang w:bidi="en-US"/>
        </w:rPr>
        <w:t>2</w:t>
      </w:r>
      <w:r w:rsidRPr="00B45EEE">
        <w:rPr>
          <w:rFonts w:ascii="Times New Roman" w:eastAsia="Times New Roman" w:hAnsi="Times New Roman" w:cs="Times New Roman"/>
          <w:color w:val="000000"/>
          <w:sz w:val="20"/>
          <w:szCs w:val="20"/>
          <w:lang w:bidi="en-US"/>
        </w:rPr>
        <w:t xml:space="preserve">, </w:t>
      </w:r>
      <w:r w:rsidRPr="00B45EEE">
        <w:rPr>
          <w:rFonts w:ascii="Times New Roman" w:eastAsia="Times New Roman" w:hAnsi="Times New Roman" w:cs="Times New Roman"/>
          <w:color w:val="000000"/>
          <w:sz w:val="20"/>
          <w:szCs w:val="20"/>
          <w:lang w:eastAsia="ru-RU" w:bidi="ru-RU"/>
        </w:rPr>
        <w:t xml:space="preserve">сокращенная - </w:t>
      </w:r>
      <w:r w:rsidRPr="00B45EEE">
        <w:rPr>
          <w:rFonts w:ascii="Times New Roman" w:eastAsia="Times New Roman" w:hAnsi="Times New Roman" w:cs="Times New Roman"/>
          <w:color w:val="000000"/>
          <w:sz w:val="20"/>
          <w:szCs w:val="20"/>
          <w:lang w:val="en-US" w:bidi="en-US"/>
        </w:rPr>
        <w:t>C</w:t>
      </w:r>
      <w:r w:rsidRPr="00B45EEE">
        <w:rPr>
          <w:rFonts w:ascii="Times New Roman" w:eastAsia="Times New Roman" w:hAnsi="Times New Roman" w:cs="Times New Roman"/>
          <w:color w:val="000000"/>
          <w:sz w:val="20"/>
          <w:szCs w:val="20"/>
          <w:vertAlign w:val="subscript"/>
          <w:lang w:bidi="en-US"/>
        </w:rPr>
        <w:t>3</w:t>
      </w:r>
      <w:r w:rsidRPr="00B45EEE">
        <w:rPr>
          <w:rFonts w:ascii="Times New Roman" w:eastAsia="Times New Roman" w:hAnsi="Times New Roman" w:cs="Times New Roman"/>
          <w:color w:val="000000"/>
          <w:sz w:val="20"/>
          <w:szCs w:val="20"/>
          <w:lang w:val="en-US" w:bidi="en-US"/>
        </w:rPr>
        <w:t>S</w:t>
      </w:r>
      <w:r w:rsidRPr="00B45EEE">
        <w:rPr>
          <w:rFonts w:ascii="Times New Roman" w:eastAsia="Times New Roman" w:hAnsi="Times New Roman" w:cs="Times New Roman"/>
          <w:color w:val="000000"/>
          <w:sz w:val="20"/>
          <w:szCs w:val="20"/>
          <w:lang w:bidi="en-US"/>
        </w:rPr>
        <w:t xml:space="preserve">. </w:t>
      </w:r>
      <w:r w:rsidRPr="00B45EEE">
        <w:rPr>
          <w:rFonts w:ascii="Times New Roman" w:eastAsia="Times New Roman" w:hAnsi="Times New Roman" w:cs="Times New Roman"/>
          <w:color w:val="000000"/>
          <w:sz w:val="20"/>
          <w:szCs w:val="20"/>
          <w:lang w:eastAsia="ru-RU" w:bidi="ru-RU"/>
        </w:rPr>
        <w:t>Это самый главный клинкерный минерал, определяющий высокую прочность, быстроту твердения и ряд других свойств портландцемента. Он схватывается в течение нескольких</w:t>
      </w:r>
    </w:p>
    <w:p w:rsidR="00B45EEE" w:rsidRPr="00B45EEE" w:rsidRDefault="00B45EEE" w:rsidP="00B45EEE">
      <w:pPr>
        <w:widowControl w:val="0"/>
        <w:spacing w:after="0" w:line="230" w:lineRule="exact"/>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часов и относительно быстро наращивает прочность. В клинкере он содержится обычно в количестве 45.. .60 %.</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Белит</w:t>
      </w:r>
      <w:r w:rsidRPr="00B45EEE">
        <w:rPr>
          <w:rFonts w:ascii="Times New Roman" w:eastAsia="Times New Roman" w:hAnsi="Times New Roman" w:cs="Times New Roman"/>
          <w:color w:val="000000"/>
          <w:sz w:val="20"/>
          <w:szCs w:val="20"/>
          <w:lang w:eastAsia="ru-RU" w:bidi="ru-RU"/>
        </w:rPr>
        <w:t xml:space="preserve"> (двухкальциевый силикат). Полная формула </w:t>
      </w:r>
      <w:r w:rsidRPr="00B45EEE">
        <w:rPr>
          <w:rFonts w:ascii="Times New Roman" w:eastAsia="Times New Roman" w:hAnsi="Times New Roman" w:cs="Times New Roman"/>
          <w:color w:val="000000"/>
          <w:sz w:val="20"/>
          <w:szCs w:val="20"/>
          <w:lang w:bidi="en-US"/>
        </w:rPr>
        <w:t>2</w:t>
      </w:r>
      <w:r w:rsidRPr="00B45EEE">
        <w:rPr>
          <w:rFonts w:ascii="Times New Roman" w:eastAsia="Times New Roman" w:hAnsi="Times New Roman" w:cs="Times New Roman"/>
          <w:color w:val="000000"/>
          <w:sz w:val="20"/>
          <w:szCs w:val="20"/>
          <w:lang w:val="en-US" w:bidi="en-US"/>
        </w:rPr>
        <w:t>CaO</w:t>
      </w:r>
      <w:r w:rsidRPr="00B45EEE">
        <w:rPr>
          <w:rFonts w:ascii="Times New Roman" w:eastAsia="Times New Roman" w:hAnsi="Times New Roman" w:cs="Times New Roman"/>
          <w:color w:val="000000"/>
          <w:sz w:val="20"/>
          <w:szCs w:val="20"/>
          <w:lang w:bidi="en-US"/>
        </w:rPr>
        <w:t xml:space="preserve">- </w:t>
      </w:r>
      <w:r w:rsidRPr="00B45EEE">
        <w:rPr>
          <w:rFonts w:ascii="Times New Roman" w:eastAsia="Times New Roman" w:hAnsi="Times New Roman" w:cs="Times New Roman"/>
          <w:color w:val="000000"/>
          <w:sz w:val="20"/>
          <w:szCs w:val="20"/>
          <w:lang w:val="en-US" w:bidi="en-US"/>
        </w:rPr>
        <w:t>SiO</w:t>
      </w:r>
      <w:r w:rsidRPr="00B45EEE">
        <w:rPr>
          <w:rFonts w:ascii="Times New Roman" w:eastAsia="Times New Roman" w:hAnsi="Times New Roman" w:cs="Times New Roman"/>
          <w:color w:val="000000"/>
          <w:sz w:val="20"/>
          <w:szCs w:val="20"/>
          <w:vertAlign w:val="subscript"/>
          <w:lang w:bidi="en-US"/>
        </w:rPr>
        <w:t>2</w:t>
      </w:r>
      <w:r w:rsidRPr="00B45EEE">
        <w:rPr>
          <w:rFonts w:ascii="Times New Roman" w:eastAsia="Times New Roman" w:hAnsi="Times New Roman" w:cs="Times New Roman"/>
          <w:color w:val="000000"/>
          <w:sz w:val="20"/>
          <w:szCs w:val="20"/>
          <w:lang w:bidi="en-US"/>
        </w:rPr>
        <w:t xml:space="preserve">, </w:t>
      </w:r>
      <w:r w:rsidRPr="00B45EEE">
        <w:rPr>
          <w:rFonts w:ascii="Times New Roman" w:eastAsia="Times New Roman" w:hAnsi="Times New Roman" w:cs="Times New Roman"/>
          <w:color w:val="000000"/>
          <w:sz w:val="20"/>
          <w:szCs w:val="20"/>
          <w:lang w:eastAsia="ru-RU" w:bidi="ru-RU"/>
        </w:rPr>
        <w:t xml:space="preserve">сокращенная - </w:t>
      </w:r>
      <w:r w:rsidRPr="00B45EEE">
        <w:rPr>
          <w:rFonts w:ascii="Times New Roman" w:eastAsia="Times New Roman" w:hAnsi="Times New Roman" w:cs="Times New Roman"/>
          <w:color w:val="000000"/>
          <w:sz w:val="20"/>
          <w:szCs w:val="20"/>
          <w:lang w:val="en-US" w:bidi="en-US"/>
        </w:rPr>
        <w:t>C</w:t>
      </w:r>
      <w:r w:rsidRPr="00B45EEE">
        <w:rPr>
          <w:rFonts w:ascii="Times New Roman" w:eastAsia="Times New Roman" w:hAnsi="Times New Roman" w:cs="Times New Roman"/>
          <w:color w:val="000000"/>
          <w:spacing w:val="10"/>
          <w:sz w:val="11"/>
          <w:szCs w:val="11"/>
          <w:vertAlign w:val="subscript"/>
          <w:lang w:bidi="en-US"/>
        </w:rPr>
        <w:t>2</w:t>
      </w:r>
      <w:r w:rsidRPr="00B45EEE">
        <w:rPr>
          <w:rFonts w:ascii="Times New Roman" w:eastAsia="Times New Roman" w:hAnsi="Times New Roman" w:cs="Times New Roman"/>
          <w:color w:val="000000"/>
          <w:sz w:val="20"/>
          <w:szCs w:val="20"/>
          <w:lang w:val="en-US" w:bidi="en-US"/>
        </w:rPr>
        <w:t>S</w:t>
      </w:r>
      <w:r w:rsidRPr="00B45EEE">
        <w:rPr>
          <w:rFonts w:ascii="Times New Roman" w:eastAsia="Times New Roman" w:hAnsi="Times New Roman" w:cs="Times New Roman"/>
          <w:color w:val="000000"/>
          <w:sz w:val="20"/>
          <w:szCs w:val="20"/>
          <w:lang w:bidi="en-US"/>
        </w:rPr>
        <w:t xml:space="preserve">. </w:t>
      </w:r>
      <w:r w:rsidRPr="00B45EEE">
        <w:rPr>
          <w:rFonts w:ascii="Times New Roman" w:eastAsia="Times New Roman" w:hAnsi="Times New Roman" w:cs="Times New Roman"/>
          <w:color w:val="000000"/>
          <w:sz w:val="20"/>
          <w:szCs w:val="20"/>
          <w:lang w:eastAsia="ru-RU" w:bidi="ru-RU"/>
        </w:rPr>
        <w:t>Второй по значимости и содержанию минерал клинкера, отличается медленным твердением, но обеспечивает достижение высокой прочности при длительном (28-суточном) твердении портландцемента. Его содержание в клинкере составляет 15.30 %.</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Трехкальциевый алюминат.</w:t>
      </w:r>
      <w:r w:rsidRPr="00B45EEE">
        <w:rPr>
          <w:rFonts w:ascii="Times New Roman" w:eastAsia="Times New Roman" w:hAnsi="Times New Roman" w:cs="Times New Roman"/>
          <w:color w:val="000000"/>
          <w:sz w:val="20"/>
          <w:szCs w:val="20"/>
          <w:lang w:eastAsia="ru-RU" w:bidi="ru-RU"/>
        </w:rPr>
        <w:t xml:space="preserve"> Полная и сокращенная формулы </w:t>
      </w:r>
      <w:r w:rsidRPr="00B45EEE">
        <w:rPr>
          <w:rFonts w:ascii="Times New Roman" w:eastAsia="Times New Roman" w:hAnsi="Times New Roman" w:cs="Times New Roman"/>
          <w:color w:val="000000"/>
          <w:sz w:val="20"/>
          <w:szCs w:val="20"/>
          <w:lang w:bidi="en-US"/>
        </w:rPr>
        <w:t>3</w:t>
      </w:r>
      <w:r w:rsidRPr="00B45EEE">
        <w:rPr>
          <w:rFonts w:ascii="Times New Roman" w:eastAsia="Times New Roman" w:hAnsi="Times New Roman" w:cs="Times New Roman"/>
          <w:color w:val="000000"/>
          <w:sz w:val="20"/>
          <w:szCs w:val="20"/>
          <w:lang w:val="en-US" w:bidi="en-US"/>
        </w:rPr>
        <w:t>CaO</w:t>
      </w:r>
      <w:r w:rsidRPr="00B45EEE">
        <w:rPr>
          <w:rFonts w:ascii="Times New Roman" w:eastAsia="Times New Roman" w:hAnsi="Times New Roman" w:cs="Times New Roman"/>
          <w:color w:val="000000"/>
          <w:sz w:val="20"/>
          <w:szCs w:val="20"/>
          <w:lang w:bidi="en-US"/>
        </w:rPr>
        <w:t xml:space="preserve">- </w:t>
      </w:r>
      <w:r w:rsidRPr="00B45EEE">
        <w:rPr>
          <w:rFonts w:ascii="Times New Roman" w:eastAsia="Times New Roman" w:hAnsi="Times New Roman" w:cs="Times New Roman"/>
          <w:color w:val="000000"/>
          <w:sz w:val="20"/>
          <w:szCs w:val="20"/>
          <w:lang w:val="en-US" w:bidi="en-US"/>
        </w:rPr>
        <w:t>Al</w:t>
      </w:r>
      <w:r w:rsidRPr="00B45EEE">
        <w:rPr>
          <w:rFonts w:ascii="Times New Roman" w:eastAsia="Times New Roman" w:hAnsi="Times New Roman" w:cs="Times New Roman"/>
          <w:color w:val="000000"/>
          <w:spacing w:val="10"/>
          <w:sz w:val="11"/>
          <w:szCs w:val="11"/>
          <w:vertAlign w:val="subscript"/>
          <w:lang w:bidi="en-US"/>
        </w:rPr>
        <w:t>2</w:t>
      </w:r>
      <w:r w:rsidRPr="00B45EEE">
        <w:rPr>
          <w:rFonts w:ascii="Times New Roman" w:eastAsia="Times New Roman" w:hAnsi="Times New Roman" w:cs="Times New Roman"/>
          <w:color w:val="000000"/>
          <w:sz w:val="20"/>
          <w:szCs w:val="20"/>
          <w:lang w:val="en-US" w:bidi="en-US"/>
        </w:rPr>
        <w:t>O</w:t>
      </w:r>
      <w:r w:rsidRPr="00B45EEE">
        <w:rPr>
          <w:rFonts w:ascii="Times New Roman" w:eastAsia="Times New Roman" w:hAnsi="Times New Roman" w:cs="Times New Roman"/>
          <w:color w:val="000000"/>
          <w:spacing w:val="10"/>
          <w:sz w:val="11"/>
          <w:szCs w:val="11"/>
          <w:vertAlign w:val="subscript"/>
          <w:lang w:bidi="en-US"/>
        </w:rPr>
        <w:t>3</w:t>
      </w:r>
      <w:r w:rsidRPr="00B45EEE">
        <w:rPr>
          <w:rFonts w:ascii="Times New Roman" w:eastAsia="Times New Roman" w:hAnsi="Times New Roman" w:cs="Times New Roman"/>
          <w:color w:val="000000"/>
          <w:sz w:val="20"/>
          <w:szCs w:val="20"/>
          <w:lang w:bidi="en-US"/>
        </w:rPr>
        <w:t xml:space="preserve"> </w:t>
      </w:r>
      <w:r w:rsidRPr="00B45EEE">
        <w:rPr>
          <w:rFonts w:ascii="Times New Roman" w:eastAsia="Times New Roman" w:hAnsi="Times New Roman" w:cs="Times New Roman"/>
          <w:color w:val="000000"/>
          <w:sz w:val="20"/>
          <w:szCs w:val="20"/>
          <w:lang w:eastAsia="ru-RU" w:bidi="ru-RU"/>
        </w:rPr>
        <w:t>и С</w:t>
      </w:r>
      <w:r w:rsidRPr="00B45EEE">
        <w:rPr>
          <w:rFonts w:ascii="Times New Roman" w:eastAsia="Times New Roman" w:hAnsi="Times New Roman" w:cs="Times New Roman"/>
          <w:color w:val="000000"/>
          <w:sz w:val="20"/>
          <w:szCs w:val="20"/>
          <w:vertAlign w:val="subscript"/>
          <w:lang w:eastAsia="ru-RU" w:bidi="ru-RU"/>
        </w:rPr>
        <w:t>3</w:t>
      </w:r>
      <w:r w:rsidRPr="00B45EEE">
        <w:rPr>
          <w:rFonts w:ascii="Times New Roman" w:eastAsia="Times New Roman" w:hAnsi="Times New Roman" w:cs="Times New Roman"/>
          <w:color w:val="000000"/>
          <w:sz w:val="20"/>
          <w:szCs w:val="20"/>
          <w:lang w:eastAsia="ru-RU" w:bidi="ru-RU"/>
        </w:rPr>
        <w:t>А соответственно. Самый быстросхватывающийся минерал, но имеет небольшую прочность. Содержится в клинкере в количестве 4.12 %, является причиной сульфатной коррозии бетона. Этот минерал способствует быстрому росту прочности в первые сутки твердения вяжущего.</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Четырехкальциевый алюмоферрит</w:t>
      </w:r>
      <w:r w:rsidRPr="00B45EEE">
        <w:rPr>
          <w:rFonts w:ascii="Times New Roman" w:eastAsia="Times New Roman" w:hAnsi="Times New Roman" w:cs="Times New Roman"/>
          <w:color w:val="000000"/>
          <w:sz w:val="20"/>
          <w:szCs w:val="20"/>
          <w:lang w:eastAsia="ru-RU" w:bidi="ru-RU"/>
        </w:rPr>
        <w:t xml:space="preserve">. </w:t>
      </w:r>
      <w:r w:rsidRPr="00B45EEE">
        <w:rPr>
          <w:rFonts w:ascii="Times New Roman" w:eastAsia="Times New Roman" w:hAnsi="Times New Roman" w:cs="Times New Roman"/>
          <w:color w:val="000000"/>
          <w:sz w:val="20"/>
          <w:szCs w:val="20"/>
          <w:lang w:bidi="en-US"/>
        </w:rPr>
        <w:t>4</w:t>
      </w:r>
      <w:r w:rsidRPr="00B45EEE">
        <w:rPr>
          <w:rFonts w:ascii="Times New Roman" w:eastAsia="Times New Roman" w:hAnsi="Times New Roman" w:cs="Times New Roman"/>
          <w:color w:val="000000"/>
          <w:sz w:val="20"/>
          <w:szCs w:val="20"/>
          <w:lang w:val="en-US" w:bidi="en-US"/>
        </w:rPr>
        <w:t>CaO</w:t>
      </w:r>
      <w:r w:rsidRPr="00B45EEE">
        <w:rPr>
          <w:rFonts w:ascii="Times New Roman" w:eastAsia="Times New Roman" w:hAnsi="Times New Roman" w:cs="Times New Roman"/>
          <w:color w:val="000000"/>
          <w:sz w:val="20"/>
          <w:szCs w:val="20"/>
          <w:lang w:bidi="en-US"/>
        </w:rPr>
        <w:t xml:space="preserve">- </w:t>
      </w:r>
      <w:r w:rsidRPr="00B45EEE">
        <w:rPr>
          <w:rFonts w:ascii="Times New Roman" w:eastAsia="Times New Roman" w:hAnsi="Times New Roman" w:cs="Times New Roman"/>
          <w:color w:val="000000"/>
          <w:sz w:val="20"/>
          <w:szCs w:val="20"/>
          <w:lang w:val="en-US" w:bidi="en-US"/>
        </w:rPr>
        <w:t>Al</w:t>
      </w:r>
      <w:r w:rsidRPr="00B45EEE">
        <w:rPr>
          <w:rFonts w:ascii="Times New Roman" w:eastAsia="Times New Roman" w:hAnsi="Times New Roman" w:cs="Times New Roman"/>
          <w:color w:val="000000"/>
          <w:spacing w:val="10"/>
          <w:sz w:val="11"/>
          <w:szCs w:val="11"/>
          <w:vertAlign w:val="subscript"/>
          <w:lang w:bidi="en-US"/>
        </w:rPr>
        <w:t>2</w:t>
      </w:r>
      <w:r w:rsidRPr="00B45EEE">
        <w:rPr>
          <w:rFonts w:ascii="Times New Roman" w:eastAsia="Times New Roman" w:hAnsi="Times New Roman" w:cs="Times New Roman"/>
          <w:color w:val="000000"/>
          <w:sz w:val="20"/>
          <w:szCs w:val="20"/>
          <w:lang w:val="en-US" w:bidi="en-US"/>
        </w:rPr>
        <w:t>O</w:t>
      </w:r>
      <w:r w:rsidRPr="00B45EEE">
        <w:rPr>
          <w:rFonts w:ascii="Times New Roman" w:eastAsia="Times New Roman" w:hAnsi="Times New Roman" w:cs="Times New Roman"/>
          <w:color w:val="000000"/>
          <w:sz w:val="20"/>
          <w:szCs w:val="20"/>
          <w:vertAlign w:val="subscript"/>
          <w:lang w:bidi="en-US"/>
        </w:rPr>
        <w:t>3</w:t>
      </w:r>
      <w:r w:rsidRPr="00B45EEE">
        <w:rPr>
          <w:rFonts w:ascii="Times New Roman" w:eastAsia="Times New Roman" w:hAnsi="Times New Roman" w:cs="Times New Roman"/>
          <w:color w:val="000000"/>
          <w:sz w:val="20"/>
          <w:szCs w:val="20"/>
          <w:lang w:bidi="en-US"/>
        </w:rPr>
        <w:t xml:space="preserve">- </w:t>
      </w:r>
      <w:r w:rsidRPr="00B45EEE">
        <w:rPr>
          <w:rFonts w:ascii="Times New Roman" w:eastAsia="Times New Roman" w:hAnsi="Times New Roman" w:cs="Times New Roman"/>
          <w:color w:val="000000"/>
          <w:sz w:val="20"/>
          <w:szCs w:val="20"/>
          <w:lang w:val="en-US" w:bidi="en-US"/>
        </w:rPr>
        <w:t>Fe</w:t>
      </w:r>
      <w:r w:rsidRPr="00B45EEE">
        <w:rPr>
          <w:rFonts w:ascii="Times New Roman" w:eastAsia="Times New Roman" w:hAnsi="Times New Roman" w:cs="Times New Roman"/>
          <w:color w:val="000000"/>
          <w:spacing w:val="10"/>
          <w:sz w:val="11"/>
          <w:szCs w:val="11"/>
          <w:vertAlign w:val="subscript"/>
          <w:lang w:bidi="en-US"/>
        </w:rPr>
        <w:t>2</w:t>
      </w:r>
      <w:r w:rsidRPr="00B45EEE">
        <w:rPr>
          <w:rFonts w:ascii="Times New Roman" w:eastAsia="Times New Roman" w:hAnsi="Times New Roman" w:cs="Times New Roman"/>
          <w:color w:val="000000"/>
          <w:sz w:val="20"/>
          <w:szCs w:val="20"/>
          <w:lang w:val="en-US" w:bidi="en-US"/>
        </w:rPr>
        <w:t>O</w:t>
      </w:r>
      <w:r w:rsidRPr="00B45EEE">
        <w:rPr>
          <w:rFonts w:ascii="Times New Roman" w:eastAsia="Times New Roman" w:hAnsi="Times New Roman" w:cs="Times New Roman"/>
          <w:color w:val="000000"/>
          <w:spacing w:val="10"/>
          <w:sz w:val="11"/>
          <w:szCs w:val="11"/>
          <w:vertAlign w:val="subscript"/>
          <w:lang w:bidi="en-US"/>
        </w:rPr>
        <w:t>3</w:t>
      </w:r>
      <w:r w:rsidRPr="00B45EEE">
        <w:rPr>
          <w:rFonts w:ascii="Times New Roman" w:eastAsia="Times New Roman" w:hAnsi="Times New Roman" w:cs="Times New Roman"/>
          <w:color w:val="000000"/>
          <w:sz w:val="20"/>
          <w:szCs w:val="20"/>
          <w:lang w:bidi="en-US"/>
        </w:rPr>
        <w:t xml:space="preserve"> </w:t>
      </w:r>
      <w:r w:rsidRPr="00B45EEE">
        <w:rPr>
          <w:rFonts w:ascii="Times New Roman" w:eastAsia="Times New Roman" w:hAnsi="Times New Roman" w:cs="Times New Roman"/>
          <w:color w:val="000000"/>
          <w:sz w:val="20"/>
          <w:szCs w:val="20"/>
          <w:lang w:eastAsia="ru-RU" w:bidi="ru-RU"/>
        </w:rPr>
        <w:t xml:space="preserve">и </w:t>
      </w:r>
      <w:r w:rsidRPr="00B45EEE">
        <w:rPr>
          <w:rFonts w:ascii="Times New Roman" w:eastAsia="Times New Roman" w:hAnsi="Times New Roman" w:cs="Times New Roman"/>
          <w:color w:val="000000"/>
          <w:sz w:val="20"/>
          <w:szCs w:val="20"/>
          <w:lang w:val="en-US" w:bidi="en-US"/>
        </w:rPr>
        <w:t>C</w:t>
      </w:r>
      <w:r w:rsidRPr="00B45EEE">
        <w:rPr>
          <w:rFonts w:ascii="Times New Roman" w:eastAsia="Times New Roman" w:hAnsi="Times New Roman" w:cs="Times New Roman"/>
          <w:color w:val="000000"/>
          <w:sz w:val="20"/>
          <w:szCs w:val="20"/>
          <w:vertAlign w:val="subscript"/>
          <w:lang w:bidi="en-US"/>
        </w:rPr>
        <w:t>4</w:t>
      </w:r>
      <w:r w:rsidRPr="00B45EEE">
        <w:rPr>
          <w:rFonts w:ascii="Times New Roman" w:eastAsia="Times New Roman" w:hAnsi="Times New Roman" w:cs="Times New Roman"/>
          <w:color w:val="000000"/>
          <w:sz w:val="20"/>
          <w:szCs w:val="20"/>
          <w:lang w:val="en-US" w:bidi="en-US"/>
        </w:rPr>
        <w:t>AF</w:t>
      </w:r>
      <w:r w:rsidRPr="00B45EEE">
        <w:rPr>
          <w:rFonts w:ascii="Times New Roman" w:eastAsia="Times New Roman" w:hAnsi="Times New Roman" w:cs="Times New Roman"/>
          <w:color w:val="000000"/>
          <w:sz w:val="20"/>
          <w:szCs w:val="20"/>
          <w:lang w:bidi="en-US"/>
        </w:rPr>
        <w:t xml:space="preserve"> </w:t>
      </w:r>
      <w:r w:rsidRPr="00B45EEE">
        <w:rPr>
          <w:rFonts w:ascii="Times New Roman" w:eastAsia="Times New Roman" w:hAnsi="Times New Roman" w:cs="Times New Roman"/>
          <w:color w:val="000000"/>
          <w:sz w:val="20"/>
          <w:szCs w:val="20"/>
          <w:lang w:eastAsia="ru-RU" w:bidi="ru-RU"/>
        </w:rPr>
        <w:t>соответственно. Так же, как и трехкальциевый алюминат, обладает короткими сроками схватывания, но гидратируется (твердеет) медленно. В клинкере содержится в пределах 10.15 %.</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Стеклофаза</w:t>
      </w:r>
      <w:r w:rsidRPr="00B45EEE">
        <w:rPr>
          <w:rFonts w:ascii="Times New Roman" w:eastAsia="Times New Roman" w:hAnsi="Times New Roman" w:cs="Times New Roman"/>
          <w:color w:val="000000"/>
          <w:sz w:val="20"/>
          <w:szCs w:val="20"/>
          <w:lang w:eastAsia="ru-RU" w:bidi="ru-RU"/>
        </w:rPr>
        <w:t xml:space="preserve"> в клинкере представляет собой неравновесный продукт, образующийся в результате быстрого его охлаждения. Содержится в клинкере в количестве 5.15 %. Количество стеклофазы зависит от скорости охлаждения клинкера после выхода из зоны обжига. Состоит преимущественно из оксидов кальция, алюминия, железа и щелочей. Наличие стеклофазы способствует возрастанию тепловыделения и прочности в начальные сроки твердения портландцемента.</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Свойства портландцемента. Цемент - это основа стройиндустрии. Портландцемент марок ПЦ400 и ПЦ500 применяется в основном для приготовления бетонных и железобетонных монолитных конструкций, сборного железобетона; портландцемент ПЦ550 и ПЦ600 - для гидротехнических сооружений, массивных сооружений из монолитного бетона, дорожного и аэродромного строительства, производства асбестоцементных изделий.</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Следует различать строительно-технические свойства: а) цементного теста; б) цементных растворов и бетонных смесей; в) изделий на их основе. Свойства цемента влияют как на свойства растворов и бетонных смесей, так и на свойства изделий. К ним относятся минеральный состав, тонкость помола, гранулометрия, равномерность изменения объема. Свойства, характеризующие строительные растворы и бетонные смеси, включают живучесть (сроки схватывания), реологические свойства (удобоукладываемость), нормальную густоту и водопотребность. Свойства изделий характеризуются прочностными показателями, усадкой и набуханием, водонепроницаемостью, долговечностью, трещиностойкостью, ползучестью.</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Прочность цементного камня</w:t>
      </w:r>
      <w:r w:rsidRPr="00B45EEE">
        <w:rPr>
          <w:rFonts w:ascii="Times New Roman" w:eastAsia="Times New Roman" w:hAnsi="Times New Roman" w:cs="Times New Roman"/>
          <w:color w:val="000000"/>
          <w:sz w:val="20"/>
          <w:szCs w:val="20"/>
          <w:lang w:eastAsia="ru-RU" w:bidi="ru-RU"/>
        </w:rPr>
        <w:t xml:space="preserve"> является важной характеристикой и оценивается пределом прочности при сжатии, изгибе и растяжении. Испытание цементов на прочностные характеристики регламентирует ГОСТ 10178-85. По прочности портландцементы делят на четыре марки: ПЦ400, ПЦ500, ПЦ550 и ПЦ600. Этим маркам соответствуют классы прочности (МПа): В22,5, В32,5, В42,5 и В52,5. Величину показателя предела прочности при сжатии цемента через 28 сут стандартного твердения называют его </w:t>
      </w:r>
      <w:r w:rsidRPr="00B45EEE">
        <w:rPr>
          <w:rFonts w:ascii="Times New Roman" w:eastAsia="Times New Roman" w:hAnsi="Times New Roman" w:cs="Times New Roman"/>
          <w:i/>
          <w:iCs/>
          <w:color w:val="000000"/>
          <w:sz w:val="20"/>
          <w:szCs w:val="20"/>
          <w:lang w:eastAsia="ru-RU" w:bidi="ru-RU"/>
        </w:rPr>
        <w:t>активностью.</w:t>
      </w:r>
      <w:r w:rsidRPr="00B45EEE">
        <w:rPr>
          <w:rFonts w:ascii="Times New Roman" w:eastAsia="Times New Roman" w:hAnsi="Times New Roman" w:cs="Times New Roman"/>
          <w:color w:val="000000"/>
          <w:sz w:val="20"/>
          <w:szCs w:val="20"/>
          <w:lang w:eastAsia="ru-RU" w:bidi="ru-RU"/>
        </w:rPr>
        <w:t xml:space="preserve"> Факторы, влияющие на прочность цемента, могут быть разделены на химико</w:t>
      </w:r>
      <w:r w:rsidRPr="00B45EEE">
        <w:rPr>
          <w:rFonts w:ascii="Times New Roman" w:eastAsia="Times New Roman" w:hAnsi="Times New Roman" w:cs="Times New Roman"/>
          <w:color w:val="000000"/>
          <w:sz w:val="20"/>
          <w:szCs w:val="20"/>
          <w:lang w:eastAsia="ru-RU" w:bidi="ru-RU"/>
        </w:rPr>
        <w:softHyphen/>
        <w:t>минералогические, технологические и технические.</w:t>
      </w:r>
    </w:p>
    <w:p w:rsidR="00B45EEE" w:rsidRPr="00B45EEE" w:rsidRDefault="00B45EEE" w:rsidP="00B45EEE">
      <w:pPr>
        <w:widowControl w:val="0"/>
        <w:tabs>
          <w:tab w:val="left" w:pos="1042"/>
          <w:tab w:val="left" w:pos="2285"/>
          <w:tab w:val="left" w:pos="3682"/>
          <w:tab w:val="left" w:pos="5174"/>
        </w:tabs>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 xml:space="preserve">Минералогический состав портландцемента оказывает чрезвычайно большое влияние на его прочность. </w:t>
      </w:r>
      <w:r w:rsidRPr="00B45EEE">
        <w:rPr>
          <w:rFonts w:ascii="Times New Roman" w:eastAsia="Times New Roman" w:hAnsi="Times New Roman" w:cs="Times New Roman"/>
          <w:color w:val="000000"/>
          <w:sz w:val="20"/>
          <w:szCs w:val="20"/>
          <w:lang w:eastAsia="ru-RU" w:bidi="ru-RU"/>
        </w:rPr>
        <w:lastRenderedPageBreak/>
        <w:t>При этом следует отличать</w:t>
      </w:r>
      <w:r w:rsidRPr="00B45EEE">
        <w:rPr>
          <w:rFonts w:ascii="Times New Roman" w:eastAsia="Times New Roman" w:hAnsi="Times New Roman" w:cs="Times New Roman"/>
          <w:color w:val="000000"/>
          <w:sz w:val="20"/>
          <w:szCs w:val="20"/>
          <w:lang w:eastAsia="ru-RU" w:bidi="ru-RU"/>
        </w:rPr>
        <w:tab/>
        <w:t>конечную,</w:t>
      </w:r>
      <w:r w:rsidRPr="00B45EEE">
        <w:rPr>
          <w:rFonts w:ascii="Times New Roman" w:eastAsia="Times New Roman" w:hAnsi="Times New Roman" w:cs="Times New Roman"/>
          <w:color w:val="000000"/>
          <w:sz w:val="20"/>
          <w:szCs w:val="20"/>
          <w:lang w:eastAsia="ru-RU" w:bidi="ru-RU"/>
        </w:rPr>
        <w:tab/>
        <w:t>максимально</w:t>
      </w:r>
      <w:r w:rsidRPr="00B45EEE">
        <w:rPr>
          <w:rFonts w:ascii="Times New Roman" w:eastAsia="Times New Roman" w:hAnsi="Times New Roman" w:cs="Times New Roman"/>
          <w:color w:val="000000"/>
          <w:sz w:val="20"/>
          <w:szCs w:val="20"/>
          <w:lang w:eastAsia="ru-RU" w:bidi="ru-RU"/>
        </w:rPr>
        <w:tab/>
        <w:t>достигаемую</w:t>
      </w:r>
      <w:r w:rsidRPr="00B45EEE">
        <w:rPr>
          <w:rFonts w:ascii="Times New Roman" w:eastAsia="Times New Roman" w:hAnsi="Times New Roman" w:cs="Times New Roman"/>
          <w:color w:val="000000"/>
          <w:sz w:val="20"/>
          <w:szCs w:val="20"/>
          <w:lang w:eastAsia="ru-RU" w:bidi="ru-RU"/>
        </w:rPr>
        <w:tab/>
        <w:t>прочность</w:t>
      </w:r>
    </w:p>
    <w:p w:rsidR="00B45EEE" w:rsidRPr="00B45EEE" w:rsidRDefault="00B45EEE" w:rsidP="00B45EEE">
      <w:pPr>
        <w:widowControl w:val="0"/>
        <w:spacing w:after="0" w:line="230" w:lineRule="exact"/>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 xml:space="preserve">(высокопрочные цементы) и скорость ее нарастания (быстротвердеющие цементы). На прочность и скорость твердения наибольшее влияние оказывает алит. Белит твердеет медленно, набирая максимальную прочность примерно к году. Трехкальциевый алюминат в сочетании с другими составляющими клинкера способствует быстрому росту прочности в первые сутки твердения. Довольно активно ведет себя при твердении четырехкальциевый алюмоферрит. Если принять 28-суточную прочность за единицу для обычного портландцемента, то коэффициент набора прочности </w:t>
      </w:r>
      <w:r w:rsidRPr="00B45EEE">
        <w:rPr>
          <w:rFonts w:ascii="Times New Roman" w:eastAsia="Times New Roman" w:hAnsi="Times New Roman" w:cs="Times New Roman"/>
          <w:color w:val="000000"/>
          <w:sz w:val="20"/>
          <w:szCs w:val="20"/>
          <w:lang w:val="en-US" w:bidi="en-US"/>
        </w:rPr>
        <w:t>C</w:t>
      </w:r>
      <w:r w:rsidRPr="00B45EEE">
        <w:rPr>
          <w:rFonts w:ascii="Times New Roman" w:eastAsia="Times New Roman" w:hAnsi="Times New Roman" w:cs="Times New Roman"/>
          <w:color w:val="000000"/>
          <w:sz w:val="20"/>
          <w:szCs w:val="20"/>
          <w:vertAlign w:val="subscript"/>
          <w:lang w:bidi="en-US"/>
        </w:rPr>
        <w:t>4</w:t>
      </w:r>
      <w:r w:rsidRPr="00B45EEE">
        <w:rPr>
          <w:rFonts w:ascii="Times New Roman" w:eastAsia="Times New Roman" w:hAnsi="Times New Roman" w:cs="Times New Roman"/>
          <w:color w:val="000000"/>
          <w:sz w:val="20"/>
          <w:szCs w:val="20"/>
          <w:lang w:val="en-US" w:bidi="en-US"/>
        </w:rPr>
        <w:t>AF</w:t>
      </w:r>
      <w:r w:rsidRPr="00B45EEE">
        <w:rPr>
          <w:rFonts w:ascii="Times New Roman" w:eastAsia="Times New Roman" w:hAnsi="Times New Roman" w:cs="Times New Roman"/>
          <w:color w:val="000000"/>
          <w:sz w:val="20"/>
          <w:szCs w:val="20"/>
          <w:lang w:bidi="en-US"/>
        </w:rPr>
        <w:t xml:space="preserve"> </w:t>
      </w:r>
      <w:r w:rsidRPr="00B45EEE">
        <w:rPr>
          <w:rFonts w:ascii="Times New Roman" w:eastAsia="Times New Roman" w:hAnsi="Times New Roman" w:cs="Times New Roman"/>
          <w:color w:val="000000"/>
          <w:sz w:val="20"/>
          <w:szCs w:val="20"/>
          <w:lang w:eastAsia="ru-RU" w:bidi="ru-RU"/>
        </w:rPr>
        <w:t>к трем суткам составит 0,36, к семи - 0,65, к году - 1,5 [3].</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Помимо химико-минералогических факторов на прочность влияют технологические факторы. Сюда в первую очередь следует отнести водоцементное отношение (В/Ц) - чем меньше эта величина, тем интенсивнее рост прочности и выше ее конечная величина. Такой рост происходит потому, что избыточное по сравнением с нужным количество воды увеличивает пористость цементного камня или бетона.</w:t>
      </w:r>
    </w:p>
    <w:p w:rsidR="00B45EEE" w:rsidRPr="00B45EEE" w:rsidRDefault="00B45EEE" w:rsidP="00B45EEE">
      <w:pPr>
        <w:widowControl w:val="0"/>
        <w:tabs>
          <w:tab w:val="left" w:pos="3072"/>
        </w:tabs>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К технологическим факторам следует отнести тонкость помола цемента и его гранулометрический состав (остаток на сите № 008 должен быть не более 15</w:t>
      </w:r>
      <w:r w:rsidRPr="00B45EEE">
        <w:rPr>
          <w:rFonts w:ascii="Times New Roman" w:eastAsia="Times New Roman" w:hAnsi="Times New Roman" w:cs="Times New Roman"/>
          <w:color w:val="000000"/>
          <w:sz w:val="20"/>
          <w:szCs w:val="20"/>
          <w:lang w:eastAsia="ru-RU" w:bidi="ru-RU"/>
        </w:rPr>
        <w:tab/>
        <w:t>%, ГОСТ 10178-85). Рядовой</w:t>
      </w:r>
    </w:p>
    <w:p w:rsidR="00B45EEE" w:rsidRPr="00B45EEE" w:rsidRDefault="00B45EEE" w:rsidP="00B45EEE">
      <w:pPr>
        <w:widowControl w:val="0"/>
        <w:spacing w:after="0" w:line="230" w:lineRule="exact"/>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портландцемент имеет тонкость помола, характеризующуюся удельной поверхностью 300...350 м</w:t>
      </w:r>
      <w:r w:rsidRPr="00B45EEE">
        <w:rPr>
          <w:rFonts w:ascii="Times New Roman" w:eastAsia="Times New Roman" w:hAnsi="Times New Roman" w:cs="Times New Roman"/>
          <w:color w:val="000000"/>
          <w:spacing w:val="10"/>
          <w:sz w:val="11"/>
          <w:szCs w:val="11"/>
          <w:vertAlign w:val="superscript"/>
          <w:lang w:eastAsia="ru-RU" w:bidi="ru-RU"/>
        </w:rPr>
        <w:t>2</w:t>
      </w:r>
      <w:r w:rsidRPr="00B45EEE">
        <w:rPr>
          <w:rFonts w:ascii="Times New Roman" w:eastAsia="Times New Roman" w:hAnsi="Times New Roman" w:cs="Times New Roman"/>
          <w:color w:val="000000"/>
          <w:sz w:val="20"/>
          <w:szCs w:val="20"/>
          <w:lang w:eastAsia="ru-RU" w:bidi="ru-RU"/>
        </w:rPr>
        <w:t>/кг. Увеличение тонкости помола до 400.450 м</w:t>
      </w:r>
      <w:r w:rsidRPr="00B45EEE">
        <w:rPr>
          <w:rFonts w:ascii="Times New Roman" w:eastAsia="Times New Roman" w:hAnsi="Times New Roman" w:cs="Times New Roman"/>
          <w:color w:val="000000"/>
          <w:sz w:val="20"/>
          <w:szCs w:val="20"/>
          <w:vertAlign w:val="superscript"/>
          <w:lang w:eastAsia="ru-RU" w:bidi="ru-RU"/>
        </w:rPr>
        <w:t>2</w:t>
      </w:r>
      <w:r w:rsidRPr="00B45EEE">
        <w:rPr>
          <w:rFonts w:ascii="Times New Roman" w:eastAsia="Times New Roman" w:hAnsi="Times New Roman" w:cs="Times New Roman"/>
          <w:color w:val="000000"/>
          <w:sz w:val="20"/>
          <w:szCs w:val="20"/>
          <w:lang w:eastAsia="ru-RU" w:bidi="ru-RU"/>
        </w:rPr>
        <w:t>/кг приводит к ускорению набора прочности, что используется в технологии производства быстротвердеющего цемента.</w:t>
      </w:r>
    </w:p>
    <w:p w:rsidR="00B45EEE" w:rsidRPr="00B45EEE" w:rsidRDefault="00B45EEE" w:rsidP="00B45EEE">
      <w:pPr>
        <w:widowControl w:val="0"/>
        <w:spacing w:after="0" w:line="230" w:lineRule="exact"/>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Однако при повышении удельной поверхности возрастает водопотребность. Чем выше тонкость помола цемента, тем быстрее он снижает свою активность при хранении на воздухе (более тонкий цемент имеет меньшее водоотделение). Увеличение тонкости помола цемента требует повышенного количества гипса как регулятора сроков схватывания.</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Активность цемента связана не только с его тонкостью помола, но и гранулометрией. Цемент полидисперсного зернового состава позволяет получить более плотный цементный камень. Повышенное содержание тонких фракций в цементе обеспечивает быстрое нарастание прочности. Температура также оказывает на прочность цементного камня большое влияние [</w:t>
      </w:r>
      <w:r w:rsidRPr="00B45EEE">
        <w:rPr>
          <w:rFonts w:ascii="Times New Roman" w:eastAsia="Times New Roman" w:hAnsi="Times New Roman" w:cs="Times New Roman"/>
          <w:color w:val="000000"/>
          <w:spacing w:val="10"/>
          <w:sz w:val="11"/>
          <w:szCs w:val="11"/>
          <w:lang w:eastAsia="ru-RU" w:bidi="ru-RU"/>
        </w:rPr>
        <w:t>11</w:t>
      </w:r>
      <w:r w:rsidRPr="00B45EEE">
        <w:rPr>
          <w:rFonts w:ascii="Times New Roman" w:eastAsia="Times New Roman" w:hAnsi="Times New Roman" w:cs="Times New Roman"/>
          <w:color w:val="000000"/>
          <w:sz w:val="20"/>
          <w:szCs w:val="20"/>
          <w:lang w:eastAsia="ru-RU" w:bidi="ru-RU"/>
        </w:rPr>
        <w:t>].</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На процессы твердения оказывают существенное влияние и химические добавки (главным образом на интенсивность набора прочности). Существуют добавки, которые могут интенсифицировать процессы твердения при пониженных температурах (например, смесь хлоридов натрия и кальция), или антикоррозионная и ускоряющая твердение комплексная добавка из нитрита и нитрата кальция.</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К технологическим факторам, влияющим на активность цемента, можно отнести условия и продолжительность хранения на складе, поскольку на цемент воздействуют пары воды и углекислоты, образуя на поверхности частичек новообразования, которые значительно снижают активность цемента. Так, хранение в течение месяца быстротвердеющего тонкоизмельченного цемента переводит его в разряд обычных. Увеличивают устойчивость цементов при хранении гидрофобные вещества (добавки асидол-мылонафта, мылонафта, аминовой кислоты в количестве до 0,25 %). К техническим параметрам относятся также и условия твердения, поскольку цемент быстрее всего твердеет в воде или атмосфере, насыщенной водяными парами. Если относительная влажность воздуха падает до 40 %, то твердение практически прекращается.</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Нормальная густота</w:t>
      </w:r>
      <w:r w:rsidRPr="00B45EEE">
        <w:rPr>
          <w:rFonts w:ascii="Times New Roman" w:eastAsia="Times New Roman" w:hAnsi="Times New Roman" w:cs="Times New Roman"/>
          <w:color w:val="000000"/>
          <w:sz w:val="20"/>
          <w:szCs w:val="20"/>
          <w:lang w:eastAsia="ru-RU" w:bidi="ru-RU"/>
        </w:rPr>
        <w:t xml:space="preserve"> характеризует реологические свойства цементной пасты - это такая консистенция цементного теста, при которой подвижный стержень прибора Вика погружается в него на глубину, нормированную ГОСТ 310.3 и используется для определения рационального значения В/Ц (рис. 15).</w:t>
      </w:r>
      <w:r w:rsidRPr="00B45EEE">
        <w:rPr>
          <w:rFonts w:ascii="Times New Roman" w:eastAsia="Times New Roman" w:hAnsi="Times New Roman" w:cs="Times New Roman"/>
          <w:color w:val="000000"/>
          <w:sz w:val="20"/>
          <w:szCs w:val="20"/>
          <w:lang w:eastAsia="ru-RU" w:bidi="ru-RU"/>
        </w:rPr>
        <w:br w:type="page"/>
      </w:r>
    </w:p>
    <w:p w:rsidR="00B45EEE" w:rsidRPr="00B45EEE" w:rsidRDefault="00B45EEE" w:rsidP="00B45EEE">
      <w:pPr>
        <w:widowControl w:val="0"/>
        <w:spacing w:after="0" w:line="230" w:lineRule="exact"/>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lastRenderedPageBreak/>
        <w:t>вяжущего</w:t>
      </w:r>
    </w:p>
    <w:p w:rsidR="00B45EEE" w:rsidRPr="00B45EEE" w:rsidRDefault="00B45EEE" w:rsidP="00B45EEE">
      <w:pPr>
        <w:widowControl w:val="0"/>
        <w:spacing w:after="0" w:line="230" w:lineRule="exact"/>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noProof/>
          <w:color w:val="000000"/>
          <w:sz w:val="20"/>
          <w:szCs w:val="20"/>
          <w:lang w:eastAsia="ru-RU"/>
        </w:rPr>
        <mc:AlternateContent>
          <mc:Choice Requires="wps">
            <w:drawing>
              <wp:anchor distT="0" distB="0" distL="88265" distR="63500" simplePos="0" relativeHeight="251659264" behindDoc="1" locked="0" layoutInCell="1" allowOverlap="1" wp14:anchorId="2098A05D" wp14:editId="1A4CD28D">
                <wp:simplePos x="0" y="0"/>
                <wp:positionH relativeFrom="margin">
                  <wp:posOffset>73025</wp:posOffset>
                </wp:positionH>
                <wp:positionV relativeFrom="paragraph">
                  <wp:posOffset>-1499870</wp:posOffset>
                </wp:positionV>
                <wp:extent cx="932815" cy="1526540"/>
                <wp:effectExtent l="0" t="0" r="3810" b="1270"/>
                <wp:wrapSquare wrapText="left"/>
                <wp:docPr id="8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2815" cy="1526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5EEE" w:rsidRDefault="00B45EEE" w:rsidP="00B45EEE">
                            <w:pPr>
                              <w:jc w:val="center"/>
                              <w:rPr>
                                <w:sz w:val="2"/>
                                <w:szCs w:val="2"/>
                              </w:rPr>
                            </w:pPr>
                            <w:r>
                              <w:rPr>
                                <w:noProof/>
                              </w:rPr>
                              <w:drawing>
                                <wp:inline distT="0" distB="0" distL="0" distR="0" wp14:anchorId="4E065EED" wp14:editId="6574776C">
                                  <wp:extent cx="923925" cy="1143000"/>
                                  <wp:effectExtent l="0" t="0" r="9525" b="0"/>
                                  <wp:docPr id="1" name="Рисунок 1" descr="C:\Users\Admin\AppData\Local\Temp\FineReader12.00\media\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Admin\AppData\Local\Temp\FineReader12.00\media\image11.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23925" cy="1143000"/>
                                          </a:xfrm>
                                          <a:prstGeom prst="rect">
                                            <a:avLst/>
                                          </a:prstGeom>
                                          <a:noFill/>
                                          <a:ln>
                                            <a:noFill/>
                                          </a:ln>
                                        </pic:spPr>
                                      </pic:pic>
                                    </a:graphicData>
                                  </a:graphic>
                                </wp:inline>
                              </w:drawing>
                            </w:r>
                          </w:p>
                          <w:p w:rsidR="00B45EEE" w:rsidRDefault="00B45EEE" w:rsidP="00B45EEE">
                            <w:pPr>
                              <w:pStyle w:val="a4"/>
                              <w:shd w:val="clear" w:color="auto" w:fill="auto"/>
                              <w:spacing w:line="302" w:lineRule="exact"/>
                              <w:ind w:firstLine="0"/>
                            </w:pPr>
                            <w:r>
                              <w:rPr>
                                <w:rStyle w:val="Exact"/>
                              </w:rPr>
                              <w:t>Рис. 15. Прибор Вика вещества,</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098A05D" id="_x0000_t202" coordsize="21600,21600" o:spt="202" path="m,l,21600r21600,l21600,xe">
                <v:stroke joinstyle="miter"/>
                <v:path gradientshapeok="t" o:connecttype="rect"/>
              </v:shapetype>
              <v:shape id="Text Box 14" o:spid="_x0000_s1026" type="#_x0000_t202" style="position:absolute;left:0;text-align:left;margin-left:5.75pt;margin-top:-118.1pt;width:73.45pt;height:120.2pt;z-index:-251657216;visibility:visible;mso-wrap-style:square;mso-width-percent:0;mso-height-percent:0;mso-wrap-distance-left:6.9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" filled="f" stroked="f">
                <v:textbox style="mso-fit-shape-to-text:t" inset="0,0,0,0">
                  <w:txbxContent>
                    <w:p w:rsidR="00B45EEE" w:rsidRDefault="00B45EEE" w:rsidP="00B45EEE">
                      <w:pPr>
                        <w:jc w:val="center"/>
                        <w:rPr>
                          <w:sz w:val="2"/>
                          <w:szCs w:val="2"/>
                        </w:rPr>
                      </w:pPr>
                      <w:r>
                        <w:rPr>
                          <w:noProof/>
                        </w:rPr>
                        <w:drawing>
                          <wp:inline distT="0" distB="0" distL="0" distR="0" wp14:anchorId="4E065EED" wp14:editId="6574776C">
                            <wp:extent cx="923925" cy="1143000"/>
                            <wp:effectExtent l="0" t="0" r="9525" b="0"/>
                            <wp:docPr id="1" name="Рисунок 1" descr="C:\Users\Admin\AppData\Local\Temp\FineReader12.00\media\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Admin\AppData\Local\Temp\FineReader12.00\media\image11.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23925" cy="1143000"/>
                                    </a:xfrm>
                                    <a:prstGeom prst="rect">
                                      <a:avLst/>
                                    </a:prstGeom>
                                    <a:noFill/>
                                    <a:ln>
                                      <a:noFill/>
                                    </a:ln>
                                  </pic:spPr>
                                </pic:pic>
                              </a:graphicData>
                            </a:graphic>
                          </wp:inline>
                        </w:drawing>
                      </w:r>
                    </w:p>
                    <w:p w:rsidR="00B45EEE" w:rsidRDefault="00B45EEE" w:rsidP="00B45EEE">
                      <w:pPr>
                        <w:pStyle w:val="a4"/>
                        <w:shd w:val="clear" w:color="auto" w:fill="auto"/>
                        <w:spacing w:line="302" w:lineRule="exact"/>
                        <w:ind w:firstLine="0"/>
                      </w:pPr>
                      <w:r>
                        <w:rPr>
                          <w:rStyle w:val="Exact"/>
                        </w:rPr>
                        <w:t>Рис. 15. Прибор Вика вещества,</w:t>
                      </w:r>
                    </w:p>
                  </w:txbxContent>
                </v:textbox>
                <w10:wrap type="square" side="left" anchorx="margin"/>
              </v:shape>
            </w:pict>
          </mc:Fallback>
        </mc:AlternateContent>
      </w:r>
      <w:r w:rsidRPr="00B45EEE">
        <w:rPr>
          <w:rFonts w:ascii="Times New Roman" w:eastAsia="Times New Roman" w:hAnsi="Times New Roman" w:cs="Times New Roman"/>
          <w:noProof/>
          <w:color w:val="000000"/>
          <w:sz w:val="20"/>
          <w:szCs w:val="20"/>
          <w:lang w:eastAsia="ru-RU"/>
        </w:rPr>
        <mc:AlternateContent>
          <mc:Choice Requires="wps">
            <w:drawing>
              <wp:anchor distT="0" distB="0" distL="63500" distR="63500" simplePos="0" relativeHeight="251660288" behindDoc="1" locked="0" layoutInCell="1" allowOverlap="1" wp14:anchorId="103618A2" wp14:editId="065BB52E">
                <wp:simplePos x="0" y="0"/>
                <wp:positionH relativeFrom="margin">
                  <wp:posOffset>1237615</wp:posOffset>
                </wp:positionH>
                <wp:positionV relativeFrom="paragraph">
                  <wp:posOffset>-1515745</wp:posOffset>
                </wp:positionV>
                <wp:extent cx="2743200" cy="1314450"/>
                <wp:effectExtent l="0" t="0" r="635" b="3810"/>
                <wp:wrapSquare wrapText="left"/>
                <wp:docPr id="8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314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45EEE" w:rsidRDefault="00B45EEE" w:rsidP="00B45EEE">
                            <w:pPr>
                              <w:pStyle w:val="20"/>
                              <w:shd w:val="clear" w:color="auto" w:fill="auto"/>
                              <w:spacing w:before="0"/>
                            </w:pPr>
                            <w:r>
                              <w:rPr>
                                <w:rStyle w:val="2Exact0"/>
                              </w:rPr>
                              <w:t>Водопотребность</w:t>
                            </w:r>
                            <w:r>
                              <w:rPr>
                                <w:rStyle w:val="2Exact"/>
                              </w:rPr>
                              <w:t xml:space="preserve"> цементного теста представляет собой количество воды, которое нужно для получения теста нормальной густоты. Чем больше воды содержится в цементном тесте, тем выше пористость образующегося после твердения и высыхания цементного камня и, соответственно, ниже его прочность. Иными словами, при прочих равных условиях, чем меньше водопотребность тем выше его качество. Портландцемент</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103618A2" id="Text Box 16" o:spid="_x0000_s1027" type="#_x0000_t202" style="position:absolute;left:0;text-align:left;margin-left:97.45pt;margin-top:-119.35pt;width:3in;height:103.5pt;z-index:-251656192;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" filled="f" stroked="f">
                <v:textbox style="mso-fit-shape-to-text:t" inset="0,0,0,0">
                  <w:txbxContent>
                    <w:p w:rsidR="00B45EEE" w:rsidRDefault="00B45EEE" w:rsidP="00B45EEE">
                      <w:pPr>
                        <w:pStyle w:val="20"/>
                        <w:shd w:val="clear" w:color="auto" w:fill="auto"/>
                        <w:spacing w:before="0"/>
                      </w:pPr>
                      <w:r>
                        <w:rPr>
                          <w:rStyle w:val="2Exact0"/>
                        </w:rPr>
                        <w:t>Водопотребность</w:t>
                      </w:r>
                      <w:r>
                        <w:rPr>
                          <w:rStyle w:val="2Exact"/>
                        </w:rPr>
                        <w:t xml:space="preserve"> цементного теста представляет собой количество воды, которое нужно для получения теста нормальной густоты. Чем больше воды содержится в цементном тесте, тем выше пористость образующегося после твердения и высыхания цементного камня и, соответственно, ниже его прочность. Иными словами, при прочих равных условиях, чем меньше водопотребность тем выше его качество. Портландцемент</w:t>
                      </w:r>
                    </w:p>
                  </w:txbxContent>
                </v:textbox>
                <w10:wrap type="square" side="left" anchorx="margin"/>
              </v:shape>
            </w:pict>
          </mc:Fallback>
        </mc:AlternateContent>
      </w:r>
      <w:r w:rsidRPr="00B45EEE">
        <w:rPr>
          <w:rFonts w:ascii="Times New Roman" w:eastAsia="Times New Roman" w:hAnsi="Times New Roman" w:cs="Times New Roman"/>
          <w:color w:val="000000"/>
          <w:sz w:val="20"/>
          <w:szCs w:val="20"/>
          <w:lang w:eastAsia="ru-RU" w:bidi="ru-RU"/>
        </w:rPr>
        <w:t>относится к вяжущим с наиболее низкой водопотребностью. Водопотребность портландцементов колеблется в пределах от 24 до 28 % (от массы цемента).</w:t>
      </w:r>
    </w:p>
    <w:p w:rsidR="00B45EEE" w:rsidRPr="00B45EEE" w:rsidRDefault="00B45EEE" w:rsidP="00B45EEE">
      <w:pPr>
        <w:widowControl w:val="0"/>
        <w:spacing w:after="0" w:line="230" w:lineRule="exact"/>
        <w:ind w:firstLine="44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Она зависит от многих факторов - минералогического состава, тонкости помола, присутствия добавок. Водопотребность возрастает с увеличением тонкости помола, содержания алюминатов, активных минеральных добавок. Следует отметить, что добавки поверхностно</w:t>
      </w:r>
      <w:r w:rsidRPr="00B45EEE">
        <w:rPr>
          <w:rFonts w:ascii="Times New Roman" w:eastAsia="Times New Roman" w:hAnsi="Times New Roman" w:cs="Times New Roman"/>
          <w:color w:val="000000"/>
          <w:sz w:val="20"/>
          <w:szCs w:val="20"/>
          <w:lang w:eastAsia="ru-RU" w:bidi="ru-RU"/>
        </w:rPr>
        <w:softHyphen/>
        <w:t>активных веществ, вводимых при помоле клинкера, оказывают разжижающее действие. Таким путем можно регулировать водопотребность.</w:t>
      </w:r>
    </w:p>
    <w:p w:rsidR="00B45EEE" w:rsidRPr="00B45EEE" w:rsidRDefault="00B45EEE" w:rsidP="00B45EEE">
      <w:pPr>
        <w:widowControl w:val="0"/>
        <w:spacing w:after="0" w:line="230" w:lineRule="exact"/>
        <w:ind w:firstLine="36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Схватывание цементного теста</w:t>
      </w:r>
      <w:r w:rsidRPr="00B45EEE">
        <w:rPr>
          <w:rFonts w:ascii="Times New Roman" w:eastAsia="Times New Roman" w:hAnsi="Times New Roman" w:cs="Times New Roman"/>
          <w:color w:val="000000"/>
          <w:sz w:val="20"/>
          <w:szCs w:val="20"/>
          <w:lang w:eastAsia="ru-RU" w:bidi="ru-RU"/>
        </w:rPr>
        <w:t xml:space="preserve"> - это загустевание, потеря цементной пастой подвижности. Одним из наиболее важных технических свойств цемента является быстрота схватывания. Из схватившегося теста формование изделий становится затруднительным (начало схватывания) или невозможным (конец схватывания). Сроки схватывания должны быть такими, чтобы приготовленный раствор или бетонная смесь могли быть использованы по назначению, т.е. до того, как они потеряют подвижность. Сроки схватывания можно регулировать введением различных добавок. Так, широко используют введение при помоле 3...6 мас. % двуводного гипса, который при затворении цемента водой образует гидросульфоалюминат кальция, называемый также </w:t>
      </w:r>
      <w:r w:rsidRPr="00B45EEE">
        <w:rPr>
          <w:rFonts w:ascii="Times New Roman" w:eastAsia="Times New Roman" w:hAnsi="Times New Roman" w:cs="Times New Roman"/>
          <w:i/>
          <w:iCs/>
          <w:color w:val="000000"/>
          <w:sz w:val="20"/>
          <w:szCs w:val="20"/>
          <w:lang w:eastAsia="ru-RU" w:bidi="ru-RU"/>
        </w:rPr>
        <w:t>эттрингитом</w:t>
      </w:r>
      <w:r w:rsidRPr="00B45EEE">
        <w:rPr>
          <w:rFonts w:ascii="Times New Roman" w:eastAsia="Times New Roman" w:hAnsi="Times New Roman" w:cs="Times New Roman"/>
          <w:color w:val="000000"/>
          <w:sz w:val="20"/>
          <w:szCs w:val="20"/>
          <w:lang w:eastAsia="ru-RU" w:bidi="ru-RU"/>
        </w:rPr>
        <w:t xml:space="preserve"> </w:t>
      </w:r>
      <w:r w:rsidRPr="00B45EEE">
        <w:rPr>
          <w:rFonts w:ascii="Times New Roman" w:eastAsia="Times New Roman" w:hAnsi="Times New Roman" w:cs="Times New Roman"/>
          <w:color w:val="000000"/>
          <w:sz w:val="20"/>
          <w:szCs w:val="20"/>
          <w:lang w:bidi="en-US"/>
        </w:rPr>
        <w:t>(3</w:t>
      </w:r>
      <w:r w:rsidRPr="00B45EEE">
        <w:rPr>
          <w:rFonts w:ascii="Times New Roman" w:eastAsia="Times New Roman" w:hAnsi="Times New Roman" w:cs="Times New Roman"/>
          <w:color w:val="000000"/>
          <w:sz w:val="20"/>
          <w:szCs w:val="20"/>
          <w:lang w:val="en-US" w:bidi="en-US"/>
        </w:rPr>
        <w:t>CaO</w:t>
      </w:r>
      <w:r w:rsidRPr="00B45EEE">
        <w:rPr>
          <w:rFonts w:ascii="Times New Roman" w:eastAsia="Times New Roman" w:hAnsi="Times New Roman" w:cs="Times New Roman"/>
          <w:color w:val="000000"/>
          <w:sz w:val="20"/>
          <w:szCs w:val="20"/>
          <w:lang w:bidi="en-US"/>
        </w:rPr>
        <w:t>^</w:t>
      </w:r>
      <w:r w:rsidRPr="00B45EEE">
        <w:rPr>
          <w:rFonts w:ascii="Times New Roman" w:eastAsia="Times New Roman" w:hAnsi="Times New Roman" w:cs="Times New Roman"/>
          <w:color w:val="000000"/>
          <w:sz w:val="20"/>
          <w:szCs w:val="20"/>
          <w:lang w:val="en-US" w:bidi="en-US"/>
        </w:rPr>
        <w:t>Al</w:t>
      </w:r>
      <w:r w:rsidRPr="00B45EEE">
        <w:rPr>
          <w:rFonts w:ascii="Times New Roman" w:eastAsia="Times New Roman" w:hAnsi="Times New Roman" w:cs="Times New Roman"/>
          <w:color w:val="000000"/>
          <w:sz w:val="20"/>
          <w:szCs w:val="20"/>
          <w:vertAlign w:val="subscript"/>
          <w:lang w:bidi="en-US"/>
        </w:rPr>
        <w:t>2</w:t>
      </w:r>
      <w:r w:rsidRPr="00B45EEE">
        <w:rPr>
          <w:rFonts w:ascii="Times New Roman" w:eastAsia="Times New Roman" w:hAnsi="Times New Roman" w:cs="Times New Roman"/>
          <w:color w:val="000000"/>
          <w:sz w:val="20"/>
          <w:szCs w:val="20"/>
          <w:lang w:val="en-US" w:bidi="en-US"/>
        </w:rPr>
        <w:t>O</w:t>
      </w:r>
      <w:r w:rsidRPr="00B45EEE">
        <w:rPr>
          <w:rFonts w:ascii="Times New Roman" w:eastAsia="Times New Roman" w:hAnsi="Times New Roman" w:cs="Times New Roman"/>
          <w:color w:val="000000"/>
          <w:sz w:val="20"/>
          <w:szCs w:val="20"/>
          <w:vertAlign w:val="subscript"/>
          <w:lang w:bidi="en-US"/>
        </w:rPr>
        <w:t>3</w:t>
      </w:r>
      <w:r w:rsidRPr="00B45EEE">
        <w:rPr>
          <w:rFonts w:ascii="Times New Roman" w:eastAsia="Times New Roman" w:hAnsi="Times New Roman" w:cs="Times New Roman"/>
          <w:color w:val="000000"/>
          <w:sz w:val="20"/>
          <w:szCs w:val="20"/>
          <w:lang w:val="en-US" w:bidi="en-US"/>
        </w:rPr>
        <w:t>eCaSO</w:t>
      </w:r>
      <w:r w:rsidRPr="00B45EEE">
        <w:rPr>
          <w:rFonts w:ascii="Times New Roman" w:eastAsia="Times New Roman" w:hAnsi="Times New Roman" w:cs="Times New Roman"/>
          <w:color w:val="000000"/>
          <w:sz w:val="20"/>
          <w:szCs w:val="20"/>
          <w:vertAlign w:val="subscript"/>
          <w:lang w:bidi="en-US"/>
        </w:rPr>
        <w:t>4</w:t>
      </w:r>
      <w:r w:rsidRPr="00B45EEE">
        <w:rPr>
          <w:rFonts w:ascii="Times New Roman" w:eastAsia="Times New Roman" w:hAnsi="Times New Roman" w:cs="Times New Roman"/>
          <w:color w:val="000000"/>
          <w:sz w:val="20"/>
          <w:szCs w:val="20"/>
          <w:lang w:bidi="en-US"/>
        </w:rPr>
        <w:t>-31</w:t>
      </w:r>
      <w:r w:rsidRPr="00B45EEE">
        <w:rPr>
          <w:rFonts w:ascii="Times New Roman" w:eastAsia="Times New Roman" w:hAnsi="Times New Roman" w:cs="Times New Roman"/>
          <w:color w:val="000000"/>
          <w:sz w:val="20"/>
          <w:szCs w:val="20"/>
          <w:lang w:val="en-US" w:bidi="en-US"/>
        </w:rPr>
        <w:t>H</w:t>
      </w:r>
      <w:r w:rsidRPr="00B45EEE">
        <w:rPr>
          <w:rFonts w:ascii="Times New Roman" w:eastAsia="Times New Roman" w:hAnsi="Times New Roman" w:cs="Times New Roman"/>
          <w:color w:val="000000"/>
          <w:sz w:val="20"/>
          <w:szCs w:val="20"/>
          <w:vertAlign w:val="subscript"/>
          <w:lang w:bidi="en-US"/>
        </w:rPr>
        <w:t>2</w:t>
      </w:r>
      <w:r w:rsidRPr="00B45EEE">
        <w:rPr>
          <w:rFonts w:ascii="Times New Roman" w:eastAsia="Times New Roman" w:hAnsi="Times New Roman" w:cs="Times New Roman"/>
          <w:color w:val="000000"/>
          <w:sz w:val="20"/>
          <w:szCs w:val="20"/>
          <w:lang w:val="en-US" w:bidi="en-US"/>
        </w:rPr>
        <w:t>O</w:t>
      </w:r>
      <w:r w:rsidRPr="00B45EEE">
        <w:rPr>
          <w:rFonts w:ascii="Times New Roman" w:eastAsia="Times New Roman" w:hAnsi="Times New Roman" w:cs="Times New Roman"/>
          <w:color w:val="000000"/>
          <w:sz w:val="20"/>
          <w:szCs w:val="20"/>
          <w:lang w:bidi="en-US"/>
        </w:rPr>
        <w:t xml:space="preserve">), </w:t>
      </w:r>
      <w:r w:rsidRPr="00B45EEE">
        <w:rPr>
          <w:rFonts w:ascii="Times New Roman" w:eastAsia="Times New Roman" w:hAnsi="Times New Roman" w:cs="Times New Roman"/>
          <w:color w:val="000000"/>
          <w:sz w:val="20"/>
          <w:szCs w:val="20"/>
          <w:lang w:eastAsia="ru-RU" w:bidi="ru-RU"/>
        </w:rPr>
        <w:t>который обволакивает зерна цемента тонкой пленкой, препятствуя таким путем реакции гидратации. Замедляют также схватывание бура, фосфат натрия, сахар, а также увеличение В/Ц и понижение температуры. Ускоряют схватывание соли кальция, сода, силикат натрия (вводимые в количестве до 1,5 %), а также повышение тонкости помола, температуры воды затворения и снижение В/Ц.</w:t>
      </w:r>
    </w:p>
    <w:p w:rsidR="00B45EEE" w:rsidRPr="00B45EEE" w:rsidRDefault="00B45EEE" w:rsidP="00B45EEE">
      <w:pPr>
        <w:widowControl w:val="0"/>
        <w:spacing w:after="0" w:line="230" w:lineRule="exact"/>
        <w:ind w:firstLine="36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Вяжущее тем ценнее, чем быстрее нарастает его прочность после начала схватывания и, следовательно, чем меньше разрыв во времени</w:t>
      </w:r>
      <w:r w:rsidRPr="00B45EEE">
        <w:rPr>
          <w:rFonts w:ascii="Times New Roman" w:eastAsia="Times New Roman" w:hAnsi="Times New Roman" w:cs="Times New Roman"/>
          <w:color w:val="000000"/>
          <w:sz w:val="20"/>
          <w:szCs w:val="20"/>
          <w:lang w:eastAsia="ru-RU" w:bidi="ru-RU"/>
        </w:rPr>
        <w:br w:type="page"/>
      </w:r>
      <w:r w:rsidRPr="00B45EEE">
        <w:rPr>
          <w:rFonts w:ascii="Times New Roman" w:eastAsia="Times New Roman" w:hAnsi="Times New Roman" w:cs="Times New Roman"/>
          <w:color w:val="000000"/>
          <w:sz w:val="20"/>
          <w:szCs w:val="20"/>
          <w:lang w:eastAsia="ru-RU" w:bidi="ru-RU"/>
        </w:rPr>
        <w:lastRenderedPageBreak/>
        <w:t xml:space="preserve">между его началом и концом. Сроки схватывания цементов зависят от многих факторов и подчиняются регулированию в довольно широких пределах с учетом требований, предъявляемым к вяжущим, применяемым в строительстве. Определяют сроки схватывания в тесте нормальной густоты по глубине погружения в него иглы Вика. Для обычного портландцемента, согласно ГОСТ 10178-85, начало схватывания должно наступать не ранее 45 мин, конец - не позднее </w:t>
      </w:r>
      <w:r w:rsidRPr="00B45EEE">
        <w:rPr>
          <w:rFonts w:ascii="Times New Roman" w:eastAsia="Times New Roman" w:hAnsi="Times New Roman" w:cs="Times New Roman"/>
          <w:color w:val="000000"/>
          <w:spacing w:val="10"/>
          <w:sz w:val="11"/>
          <w:szCs w:val="11"/>
          <w:lang w:eastAsia="ru-RU" w:bidi="ru-RU"/>
        </w:rPr>
        <w:t>10</w:t>
      </w:r>
      <w:r w:rsidRPr="00B45EEE">
        <w:rPr>
          <w:rFonts w:ascii="Times New Roman" w:eastAsia="Times New Roman" w:hAnsi="Times New Roman" w:cs="Times New Roman"/>
          <w:color w:val="000000"/>
          <w:sz w:val="20"/>
          <w:szCs w:val="20"/>
          <w:lang w:eastAsia="ru-RU" w:bidi="ru-RU"/>
        </w:rPr>
        <w:t xml:space="preserve"> ч с момента затворения водой цементного теста.</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Ложное схватывание</w:t>
      </w:r>
      <w:r w:rsidRPr="00B45EEE">
        <w:rPr>
          <w:rFonts w:ascii="Times New Roman" w:eastAsia="Times New Roman" w:hAnsi="Times New Roman" w:cs="Times New Roman"/>
          <w:color w:val="000000"/>
          <w:sz w:val="20"/>
          <w:szCs w:val="20"/>
          <w:lang w:eastAsia="ru-RU" w:bidi="ru-RU"/>
        </w:rPr>
        <w:t xml:space="preserve"> - практически мгновенное схватывание, которое, однако, после перемешивания дает тесто с нормальными сроками схватывания и без потерь прочности. Причина этого явления заключается в гидратации обезвоженных кристаллогидратов (например, полуводного гипса), которые образуются в результате повышенной температуры при помоле.</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Равномерность изменения объема</w:t>
      </w:r>
      <w:r w:rsidRPr="00B45EEE">
        <w:rPr>
          <w:rFonts w:ascii="Times New Roman" w:eastAsia="Times New Roman" w:hAnsi="Times New Roman" w:cs="Times New Roman"/>
          <w:color w:val="000000"/>
          <w:sz w:val="20"/>
          <w:szCs w:val="20"/>
          <w:lang w:eastAsia="ru-RU" w:bidi="ru-RU"/>
        </w:rPr>
        <w:t xml:space="preserve"> - признак, обусловливающий целостность изделия из цементной пасты, поскольку цементы с неравномерным расширением объема приводят к снижению или полному разрушению бетонного изделия. Причина неравномерного расширения объема - присутствие в цементе свободной пережженной СаО или </w:t>
      </w:r>
      <w:r w:rsidRPr="00B45EEE">
        <w:rPr>
          <w:rFonts w:ascii="Times New Roman" w:eastAsia="Times New Roman" w:hAnsi="Times New Roman" w:cs="Times New Roman"/>
          <w:color w:val="000000"/>
          <w:sz w:val="20"/>
          <w:szCs w:val="20"/>
          <w:lang w:val="en-US" w:bidi="en-US"/>
        </w:rPr>
        <w:t>MgO</w:t>
      </w:r>
      <w:r w:rsidRPr="00B45EEE">
        <w:rPr>
          <w:rFonts w:ascii="Times New Roman" w:eastAsia="Times New Roman" w:hAnsi="Times New Roman" w:cs="Times New Roman"/>
          <w:color w:val="000000"/>
          <w:sz w:val="20"/>
          <w:szCs w:val="20"/>
          <w:lang w:bidi="en-US"/>
        </w:rPr>
        <w:t xml:space="preserve">, </w:t>
      </w:r>
      <w:r w:rsidRPr="00B45EEE">
        <w:rPr>
          <w:rFonts w:ascii="Times New Roman" w:eastAsia="Times New Roman" w:hAnsi="Times New Roman" w:cs="Times New Roman"/>
          <w:color w:val="000000"/>
          <w:sz w:val="20"/>
          <w:szCs w:val="20"/>
          <w:lang w:eastAsia="ru-RU" w:bidi="ru-RU"/>
        </w:rPr>
        <w:t>т.е. соединений, реакции гидратации которых начинаются после гидратации основных клинкерных минералов и идут медленнее.</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Тепловыделение при твердении.</w:t>
      </w:r>
      <w:r w:rsidRPr="00B45EEE">
        <w:rPr>
          <w:rFonts w:ascii="Times New Roman" w:eastAsia="Times New Roman" w:hAnsi="Times New Roman" w:cs="Times New Roman"/>
          <w:color w:val="000000"/>
          <w:sz w:val="20"/>
          <w:szCs w:val="20"/>
          <w:lang w:eastAsia="ru-RU" w:bidi="ru-RU"/>
        </w:rPr>
        <w:t xml:space="preserve"> Поскольку гидратация клинкерных минералов - экзотермический процесс, то при формировании цементного камня или бетона на его основе происходит выделение тепла. Тепловыделение приводит к разогреву всей массы бетона, что в зависимости от условий строительства может играть как положительную, так и отрицательную роль. При зимнем бетонировании высокое тепловыделение замедляет охлаждение уложенного бетона, способствует развитию процессов гидратации и твердения и таким образом, полезно. В других условиях тепловыделение приводит к появлению термонапряжений в массе бетона, в результате чего могут возникнуть и развиться трещины, приводящие к разрушению. Тепловыделение зависит в основном от минералогического состава цемента. Эта зависимость связана, во- первых, с суммарным термохимическим эффектом различных клинкерных минералов при гидратации и, во-вторых, со скоростью взаимодействия этих минералов с водой. Установлено, что алит и трехкальциевый алюминат отличаются не только большим суммарным, но и быстрым тепловыделением, в то время как белит и четырехкальциевый алюмоферрит низкотермичны и выделяют тепло медленно. Увеличивают тепловыделение повышение содержания в клинкере стеклофазы, увеличение тонкости помола, различные добавки, ускоряющие гидратацию и твердение [3].</w:t>
      </w:r>
    </w:p>
    <w:p w:rsidR="00B45EEE" w:rsidRPr="00B45EEE" w:rsidRDefault="00B45EEE" w:rsidP="00B45EEE">
      <w:pPr>
        <w:widowControl w:val="0"/>
        <w:tabs>
          <w:tab w:val="left" w:pos="2458"/>
        </w:tabs>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Плотность</w:t>
      </w:r>
      <w:r w:rsidRPr="00B45EEE">
        <w:rPr>
          <w:rFonts w:ascii="Times New Roman" w:eastAsia="Times New Roman" w:hAnsi="Times New Roman" w:cs="Times New Roman"/>
          <w:color w:val="000000"/>
          <w:sz w:val="20"/>
          <w:szCs w:val="20"/>
          <w:lang w:eastAsia="ru-RU" w:bidi="ru-RU"/>
        </w:rPr>
        <w:t xml:space="preserve"> портландцемента в зависимости от его состава составляет 3000...3200 кг/м</w:t>
      </w:r>
      <w:r w:rsidRPr="00B45EEE">
        <w:rPr>
          <w:rFonts w:ascii="Times New Roman" w:eastAsia="Times New Roman" w:hAnsi="Times New Roman" w:cs="Times New Roman"/>
          <w:color w:val="000000"/>
          <w:sz w:val="20"/>
          <w:szCs w:val="20"/>
          <w:vertAlign w:val="superscript"/>
          <w:lang w:eastAsia="ru-RU" w:bidi="ru-RU"/>
        </w:rPr>
        <w:t>3</w:t>
      </w:r>
      <w:r w:rsidRPr="00B45EEE">
        <w:rPr>
          <w:rFonts w:ascii="Times New Roman" w:eastAsia="Times New Roman" w:hAnsi="Times New Roman" w:cs="Times New Roman"/>
          <w:color w:val="000000"/>
          <w:sz w:val="20"/>
          <w:szCs w:val="20"/>
          <w:lang w:eastAsia="ru-RU" w:bidi="ru-RU"/>
        </w:rPr>
        <w:t>. Другой технической характеристикой цемента служит его насыпная плотность, которая в рыхлом состоянии колеблется от 900 до 1000 кг/м</w:t>
      </w:r>
      <w:r w:rsidRPr="00B45EEE">
        <w:rPr>
          <w:rFonts w:ascii="Times New Roman" w:eastAsia="Times New Roman" w:hAnsi="Times New Roman" w:cs="Times New Roman"/>
          <w:color w:val="000000"/>
          <w:sz w:val="20"/>
          <w:szCs w:val="20"/>
          <w:vertAlign w:val="superscript"/>
          <w:lang w:eastAsia="ru-RU" w:bidi="ru-RU"/>
        </w:rPr>
        <w:t>3</w:t>
      </w:r>
      <w:r w:rsidRPr="00B45EEE">
        <w:rPr>
          <w:rFonts w:ascii="Times New Roman" w:eastAsia="Times New Roman" w:hAnsi="Times New Roman" w:cs="Times New Roman"/>
          <w:color w:val="000000"/>
          <w:sz w:val="20"/>
          <w:szCs w:val="20"/>
          <w:lang w:eastAsia="ru-RU" w:bidi="ru-RU"/>
        </w:rPr>
        <w:t>, в уплотненном - от 1400 до 1700 кг/м</w:t>
      </w:r>
      <w:r w:rsidRPr="00B45EEE">
        <w:rPr>
          <w:rFonts w:ascii="Times New Roman" w:eastAsia="Times New Roman" w:hAnsi="Times New Roman" w:cs="Times New Roman"/>
          <w:color w:val="000000"/>
          <w:sz w:val="20"/>
          <w:szCs w:val="20"/>
          <w:vertAlign w:val="superscript"/>
          <w:lang w:eastAsia="ru-RU" w:bidi="ru-RU"/>
        </w:rPr>
        <w:t>3</w:t>
      </w:r>
      <w:r w:rsidRPr="00B45EEE">
        <w:rPr>
          <w:rFonts w:ascii="Times New Roman" w:eastAsia="Times New Roman" w:hAnsi="Times New Roman" w:cs="Times New Roman"/>
          <w:color w:val="000000"/>
          <w:sz w:val="20"/>
          <w:szCs w:val="20"/>
          <w:lang w:eastAsia="ru-RU" w:bidi="ru-RU"/>
        </w:rPr>
        <w:t>. В практических расчетах чаще всего используют усредненное значение насыпной плотности - 1200 кг/м</w:t>
      </w:r>
      <w:r w:rsidRPr="00B45EEE">
        <w:rPr>
          <w:rFonts w:ascii="Times New Roman" w:eastAsia="Times New Roman" w:hAnsi="Times New Roman" w:cs="Times New Roman"/>
          <w:color w:val="000000"/>
          <w:sz w:val="20"/>
          <w:szCs w:val="20"/>
          <w:vertAlign w:val="superscript"/>
          <w:lang w:eastAsia="ru-RU" w:bidi="ru-RU"/>
        </w:rPr>
        <w:t>3</w:t>
      </w:r>
      <w:r w:rsidRPr="00B45EEE">
        <w:rPr>
          <w:rFonts w:ascii="Times New Roman" w:eastAsia="Times New Roman" w:hAnsi="Times New Roman" w:cs="Times New Roman"/>
          <w:color w:val="000000"/>
          <w:sz w:val="20"/>
          <w:szCs w:val="20"/>
          <w:lang w:eastAsia="ru-RU" w:bidi="ru-RU"/>
        </w:rPr>
        <w:t>. Цементы с пониженной плотностью при прочих равных условиях более экономичны. Цементы с повышенной плотностью применяются для тампонирования нефтяных скважин, для сооружения защитных устройств от ядерных излучений. Повышения</w:t>
      </w:r>
      <w:r w:rsidRPr="00B45EEE">
        <w:rPr>
          <w:rFonts w:ascii="Times New Roman" w:eastAsia="Times New Roman" w:hAnsi="Times New Roman" w:cs="Times New Roman"/>
          <w:color w:val="000000"/>
          <w:sz w:val="20"/>
          <w:szCs w:val="20"/>
          <w:lang w:eastAsia="ru-RU" w:bidi="ru-RU"/>
        </w:rPr>
        <w:tab/>
        <w:t>плотности добиваются увеличением</w:t>
      </w:r>
    </w:p>
    <w:p w:rsidR="00B45EEE" w:rsidRPr="00B45EEE" w:rsidRDefault="00B45EEE" w:rsidP="00B45EEE">
      <w:pPr>
        <w:widowControl w:val="0"/>
        <w:spacing w:after="0" w:line="230" w:lineRule="exact"/>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железистых составляющих, а также введением оксида бария. Пониженной плотностью обладают шлаковые и пуццолановые цементы.</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Усадка и набухание цементного камня.</w:t>
      </w:r>
      <w:r w:rsidRPr="00B45EEE">
        <w:rPr>
          <w:rFonts w:ascii="Times New Roman" w:eastAsia="Times New Roman" w:hAnsi="Times New Roman" w:cs="Times New Roman"/>
          <w:color w:val="000000"/>
          <w:sz w:val="20"/>
          <w:szCs w:val="20"/>
          <w:lang w:eastAsia="ru-RU" w:bidi="ru-RU"/>
        </w:rPr>
        <w:t xml:space="preserve"> Если цементный или бетонный образец поместить в среду, относительная влажность которой ниже равновесной влажности образца, то последний со временем уменьшит свои линейные размеры - даст усадку. Это явление происходит вследствие высыхания изделия - испарения свободной воды из пор и капилляров. С высыханием воды связано проявление капиллярных сил - сил сжатия, которые могут быть столь значительны, что вызывают появление напряжений в материале и образование трещин. Если же влажность окружающей среды выше равновесной влажности материала, то его водосодержание начинает расти и сопровождается увеличением объема образца - его набуханием. Набухание тоже вызывает появление внутренних напряжений, но менее интенсивных, чем при усадке.</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color w:val="000000"/>
          <w:sz w:val="20"/>
          <w:szCs w:val="20"/>
          <w:lang w:eastAsia="ru-RU" w:bidi="ru-RU"/>
        </w:rPr>
        <w:t>На величину усадки цементного камня влияет много факторов. Так, алитовые и более грубомолотые цементы меньше склонны к усадке. Снижение В/Ц, при прочих равных условиях, ввод порошкообразных заполнителей также приводят к снижению усадки. Повышают усадку добавка хлорида кальция, обработка цементного камня или бетона паром под давлением в автоклавах.</w:t>
      </w:r>
    </w:p>
    <w:p w:rsidR="00B45EEE" w:rsidRPr="00B45EEE" w:rsidRDefault="00B45EEE" w:rsidP="00B45EEE">
      <w:pPr>
        <w:widowControl w:val="0"/>
        <w:spacing w:after="0"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Трещиностойкость.</w:t>
      </w:r>
      <w:r w:rsidRPr="00B45EEE">
        <w:rPr>
          <w:rFonts w:ascii="Times New Roman" w:eastAsia="Times New Roman" w:hAnsi="Times New Roman" w:cs="Times New Roman"/>
          <w:color w:val="000000"/>
          <w:sz w:val="20"/>
          <w:szCs w:val="20"/>
          <w:lang w:eastAsia="ru-RU" w:bidi="ru-RU"/>
        </w:rPr>
        <w:t xml:space="preserve"> Трещины возникают в результате напряжений и деформаций в цементном камне или бетоне под действием механических нагрузок, температурных, влажностных и объемных перепадов. Трещиностойкость бетонов можно повысить, снижая усадку, ползучесть цементного камня, а также вводя добавки поверхностно-активных веществ.</w:t>
      </w:r>
    </w:p>
    <w:p w:rsidR="00B45EEE" w:rsidRPr="00B45EEE" w:rsidRDefault="00B45EEE" w:rsidP="00B45EEE">
      <w:pPr>
        <w:widowControl w:val="0"/>
        <w:spacing w:after="204" w:line="230" w:lineRule="exact"/>
        <w:ind w:firstLine="320"/>
        <w:jc w:val="both"/>
        <w:rPr>
          <w:rFonts w:ascii="Times New Roman" w:eastAsia="Times New Roman" w:hAnsi="Times New Roman" w:cs="Times New Roman"/>
          <w:color w:val="000000"/>
          <w:sz w:val="20"/>
          <w:szCs w:val="20"/>
          <w:lang w:eastAsia="ru-RU" w:bidi="ru-RU"/>
        </w:rPr>
      </w:pPr>
      <w:r w:rsidRPr="00B45EEE">
        <w:rPr>
          <w:rFonts w:ascii="Times New Roman" w:eastAsia="Times New Roman" w:hAnsi="Times New Roman" w:cs="Times New Roman"/>
          <w:i/>
          <w:iCs/>
          <w:color w:val="000000"/>
          <w:sz w:val="20"/>
          <w:szCs w:val="20"/>
          <w:lang w:eastAsia="ru-RU" w:bidi="ru-RU"/>
        </w:rPr>
        <w:t>Ползучесть</w:t>
      </w:r>
      <w:r w:rsidRPr="00B45EEE">
        <w:rPr>
          <w:rFonts w:ascii="Times New Roman" w:eastAsia="Times New Roman" w:hAnsi="Times New Roman" w:cs="Times New Roman"/>
          <w:color w:val="000000"/>
          <w:sz w:val="20"/>
          <w:szCs w:val="20"/>
          <w:lang w:eastAsia="ru-RU" w:bidi="ru-RU"/>
        </w:rPr>
        <w:t xml:space="preserve"> цементного камня или изделий из него - способность необратимо деформироваться под действием механических и других факторов. Ползучесть зависит от достигнутой прочности цементного камня или бетона перед нагрузкой и она тем меньше, чем больше прочность перед нагружением. Она практически затухает к двум годам после нагружения конструкции. Оказывает влияние на ползучесть также и минералогический состав.</w:t>
      </w:r>
    </w:p>
    <w:p w:rsidR="004561ED" w:rsidRDefault="004561ED">
      <w:bookmarkStart w:id="1" w:name="_GoBack"/>
      <w:bookmarkEnd w:id="1"/>
    </w:p>
    <w:sectPr w:rsidR="004561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2D6A68"/>
    <w:multiLevelType w:val="multilevel"/>
    <w:tmpl w:val="C5BC54E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535"/>
    <w:rsid w:val="004561ED"/>
    <w:rsid w:val="006F1535"/>
    <w:rsid w:val="00B45E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687C05-6728-434D-AAD2-9F86E77DF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xact">
    <w:name w:val="Подпись к картинке Exact"/>
    <w:basedOn w:val="a0"/>
    <w:rsid w:val="00B45EEE"/>
    <w:rPr>
      <w:rFonts w:ascii="Times New Roman" w:eastAsia="Times New Roman" w:hAnsi="Times New Roman" w:cs="Times New Roman"/>
      <w:b w:val="0"/>
      <w:bCs w:val="0"/>
      <w:i w:val="0"/>
      <w:iCs w:val="0"/>
      <w:smallCaps w:val="0"/>
      <w:strike w:val="0"/>
      <w:sz w:val="20"/>
      <w:szCs w:val="20"/>
      <w:u w:val="none"/>
    </w:rPr>
  </w:style>
  <w:style w:type="character" w:customStyle="1" w:styleId="2Exact">
    <w:name w:val="Основной текст (2) Exact"/>
    <w:basedOn w:val="a0"/>
    <w:rsid w:val="00B45EEE"/>
    <w:rPr>
      <w:rFonts w:ascii="Times New Roman" w:eastAsia="Times New Roman" w:hAnsi="Times New Roman" w:cs="Times New Roman"/>
      <w:b w:val="0"/>
      <w:bCs w:val="0"/>
      <w:i w:val="0"/>
      <w:iCs w:val="0"/>
      <w:smallCaps w:val="0"/>
      <w:strike w:val="0"/>
      <w:sz w:val="20"/>
      <w:szCs w:val="20"/>
      <w:u w:val="none"/>
    </w:rPr>
  </w:style>
  <w:style w:type="character" w:customStyle="1" w:styleId="2Exact0">
    <w:name w:val="Основной текст (2) + Курсив Exact"/>
    <w:basedOn w:val="2"/>
    <w:rsid w:val="00B45EEE"/>
    <w:rPr>
      <w:rFonts w:ascii="Times New Roman" w:eastAsia="Times New Roman" w:hAnsi="Times New Roman" w:cs="Times New Roman"/>
      <w:i/>
      <w:iCs/>
      <w:sz w:val="20"/>
      <w:szCs w:val="20"/>
      <w:shd w:val="clear" w:color="auto" w:fill="FFFFFF"/>
    </w:rPr>
  </w:style>
  <w:style w:type="character" w:customStyle="1" w:styleId="2">
    <w:name w:val="Основной текст (2)_"/>
    <w:basedOn w:val="a0"/>
    <w:link w:val="20"/>
    <w:rsid w:val="00B45EEE"/>
    <w:rPr>
      <w:rFonts w:ascii="Times New Roman" w:eastAsia="Times New Roman" w:hAnsi="Times New Roman" w:cs="Times New Roman"/>
      <w:sz w:val="20"/>
      <w:szCs w:val="20"/>
      <w:shd w:val="clear" w:color="auto" w:fill="FFFFFF"/>
    </w:rPr>
  </w:style>
  <w:style w:type="character" w:customStyle="1" w:styleId="a3">
    <w:name w:val="Подпись к картинке_"/>
    <w:basedOn w:val="a0"/>
    <w:link w:val="a4"/>
    <w:rsid w:val="00B45EEE"/>
    <w:rPr>
      <w:rFonts w:ascii="Times New Roman" w:eastAsia="Times New Roman" w:hAnsi="Times New Roman" w:cs="Times New Roman"/>
      <w:sz w:val="20"/>
      <w:szCs w:val="20"/>
      <w:shd w:val="clear" w:color="auto" w:fill="FFFFFF"/>
    </w:rPr>
  </w:style>
  <w:style w:type="paragraph" w:customStyle="1" w:styleId="a4">
    <w:name w:val="Подпись к картинке"/>
    <w:basedOn w:val="a"/>
    <w:link w:val="a3"/>
    <w:rsid w:val="00B45EEE"/>
    <w:pPr>
      <w:widowControl w:val="0"/>
      <w:shd w:val="clear" w:color="auto" w:fill="FFFFFF"/>
      <w:spacing w:after="0" w:line="0" w:lineRule="atLeast"/>
      <w:ind w:hanging="360"/>
    </w:pPr>
    <w:rPr>
      <w:rFonts w:ascii="Times New Roman" w:eastAsia="Times New Roman" w:hAnsi="Times New Roman" w:cs="Times New Roman"/>
      <w:sz w:val="20"/>
      <w:szCs w:val="20"/>
    </w:rPr>
  </w:style>
  <w:style w:type="paragraph" w:customStyle="1" w:styleId="20">
    <w:name w:val="Основной текст (2)"/>
    <w:basedOn w:val="a"/>
    <w:link w:val="2"/>
    <w:rsid w:val="00B45EEE"/>
    <w:pPr>
      <w:widowControl w:val="0"/>
      <w:shd w:val="clear" w:color="auto" w:fill="FFFFFF"/>
      <w:spacing w:before="300" w:after="0" w:line="230" w:lineRule="exact"/>
      <w:jc w:val="both"/>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2344</Words>
  <Characters>13367</Characters>
  <Application>Microsoft Office Word</Application>
  <DocSecurity>0</DocSecurity>
  <Lines>111</Lines>
  <Paragraphs>31</Paragraphs>
  <ScaleCrop>false</ScaleCrop>
  <Company/>
  <LinksUpToDate>false</LinksUpToDate>
  <CharactersWithSpaces>15680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Зауреш Салимбаева</dc:creator>
  <cp:keywords/>
  <dc:description/>
  <cp:lastModifiedBy>Зауреш Салимбаева</cp:lastModifiedBy>
  <cp:revision>2</cp:revision>
  <dcterms:created xsi:type="dcterms:W3CDTF">2020-08-24T12:50:00Z</dcterms:created>
  <dcterms:modified xsi:type="dcterms:W3CDTF">2020-08-24T12:50:00Z</dcterms:modified>
</cp:coreProperties>
</file>