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01D" w:rsidRDefault="00A707A5">
      <w:pPr>
        <w:rPr>
          <w:rFonts w:ascii="Times New Roman" w:hAnsi="Times New Roman" w:cs="Times New Roman"/>
          <w:b/>
          <w:sz w:val="28"/>
          <w:szCs w:val="28"/>
          <w:lang w:val="kk-KZ"/>
        </w:rPr>
      </w:pPr>
      <w:bookmarkStart w:id="0" w:name="_GoBack"/>
      <w:bookmarkEnd w:id="0"/>
      <w:r w:rsidRPr="00A707A5">
        <w:rPr>
          <w:rFonts w:ascii="Times New Roman" w:hAnsi="Times New Roman" w:cs="Times New Roman"/>
          <w:b/>
          <w:sz w:val="28"/>
          <w:szCs w:val="28"/>
          <w:lang w:val="kk-KZ"/>
        </w:rPr>
        <w:t>ТАҚЫРЫП-12</w:t>
      </w:r>
      <w:r>
        <w:rPr>
          <w:rFonts w:ascii="Times New Roman" w:hAnsi="Times New Roman" w:cs="Times New Roman"/>
          <w:b/>
          <w:sz w:val="28"/>
          <w:szCs w:val="28"/>
          <w:lang w:val="kk-KZ"/>
        </w:rPr>
        <w:t xml:space="preserve"> </w:t>
      </w:r>
      <w:r w:rsidRPr="00A707A5">
        <w:rPr>
          <w:rFonts w:ascii="Times New Roman" w:hAnsi="Times New Roman" w:cs="Times New Roman"/>
          <w:b/>
          <w:sz w:val="28"/>
          <w:szCs w:val="28"/>
          <w:lang w:val="kk-KZ"/>
        </w:rPr>
        <w:t>Ашық жерге көшеттер шығару үшін ТКМ жобалау</w:t>
      </w:r>
    </w:p>
    <w:p w:rsidR="00A707A5" w:rsidRDefault="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Бұл жұмысты орындау кезінде келесі әрекеттерді орындау қажет:</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 технологиялық процесс операцияларын таңдау [1, 3],:</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 машиналар мен агрегатталатын тракторлардың маркаларын анықтау;</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 операцияларды орындаудың ең жақсы агротехникалық мерзімдерін негіздеу;</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 қажетті МТА санын есептеңіз;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- 1-кесте нысаны бойынша есептеу нәтижелерін азайту;</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 тракторларды пайдалану кестесін құру.</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Практикалық жұмысты орындауға арналған Бастапқы мәліметтер 1-кестеде келтірілген. МТА-ны жинақтау кезінде мүмкіндігінше тарту класының бастапқы деректерінде ұсынылған тракторды пайдалану қажет.</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1-кесте-бастапқы деректер</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Нұсқа нөмірі тұқым ауданы, га аймақ тартым класы, кН</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Қарағай</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Шырша</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lastRenderedPageBreak/>
        <w:t>Емен</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Үйеңкі</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Қайың</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Қарағай</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Шырша</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Емен</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Қарағай</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Шырша</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Емен</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Үйеңкі</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Қайың</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Қарағай</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Шырша</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Емен</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Қарағай</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Шырша</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Емен</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Үйеңкі</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Қайың</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Қарағай</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Шырша</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Емен</w:t>
      </w: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 xml:space="preserve">Бұл машиналар кешені орман питомниктерінде орманды қалпына келтіру және орман өсіру үшін көшеттерді өсіруге және жинауға арналған [1]. Орман питомниктерінде отырғызу материалын өсіру жағдайлары көбінесе отау және көкөніс дақылдарын өндіру кезінде орын алатын тиісті жағдайларға ұқсас болғандықтан, машина жүйесінің </w:t>
      </w:r>
      <w:r w:rsidRPr="00A707A5">
        <w:rPr>
          <w:rFonts w:ascii="Times New Roman" w:hAnsi="Times New Roman" w:cs="Times New Roman"/>
          <w:b/>
          <w:sz w:val="28"/>
          <w:szCs w:val="28"/>
          <w:lang w:val="kk-KZ"/>
        </w:rPr>
        <w:lastRenderedPageBreak/>
        <w:t>осы бөліміне ауыл шаруашылығы техникасының едәуір мөлшері енгізілген: әмбебап-отау тракторлары Т-40ам және МТЗ-80/82, өздігінен жүретін шассилер Т-16М, соқалар, тырмалар, қопсытқыштар, органикалық және минералды тыңайтқыштарды енгізуге арналған машиналар, бүріккіштер, жаңбырлатқыш жабдықтар және т. б.</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Ашық топырақта көшеттер өндіруге арналған ТКМ операциялары, машиналары мен тракторлары бастапқы деректерге сәйкес 3.01 [1, с.40] кестесінен жазылады. Агрегаттардың Сағаттық өнімділігі туралы мәліметтер машина жүйесінде [1, 52-57 б.], өсімдік шаруашылығынан алынған машиналар үшін [1, 187-201 Б.] келтірілген.</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Агрегаттардың қажетті санын есептеу қысқа мерзімде жүргізілуі керек операциялардан басталады. Бұл егу, мульчирование, отырғызу. Содан кейін аз мерзімді операцияларға өтіңіз. Мысал ретінде егіс машиналарын есептеуді қарастырыңыз.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Қарағай тұқымын себу үшін 6-дан 14 кН-ға дейін тартқыш класты тракторлармен агрегатталатын орман шламын-5-20 [1, с.42] отырғызғышты қолданамыз. Біз МТЗ-82 (14 кН) тракторын таңдаймыз.</w:t>
      </w:r>
      <w:r w:rsidRPr="00A707A5">
        <w:rPr>
          <w:lang w:val="kk-KZ"/>
        </w:rPr>
        <w:t xml:space="preserve"> </w:t>
      </w:r>
      <w:r w:rsidRPr="00A707A5">
        <w:rPr>
          <w:rFonts w:ascii="Times New Roman" w:hAnsi="Times New Roman" w:cs="Times New Roman"/>
          <w:b/>
          <w:sz w:val="28"/>
          <w:szCs w:val="28"/>
          <w:lang w:val="kk-KZ"/>
        </w:rPr>
        <w:t>Айталық, тұқым себу қылқан жапырақты – көктемі жоқ болған бүліну қаупін тұқым кеміргіштермен, ал көктегеннен ауа-райының күрт суытуына. Шамамен 20.04-тен 30.04-ке дейін егуді жоспарлап отырмыз. Сонда Дк күнтізбелік күндерінің саны-11.</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Жұмыс күндерінің санын есептейміз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Др = Дк ·ИҚК, (1)</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мұнда ИҚК-демалыс күндерін, жөндеуді, техникалық қызмет көрсетуді және т.б. ескеретін күнтізбелік мерзімді пайдалану коэффициенті; ИҚК = 0,8 ...0,85.</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DR = 11 × 0,85 = 9.</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SLU-5-20 сепкішінің өнімділігі</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ӨС =0,4 га/сағ [1, 57 Б.].</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Отырғызғыштың ауыспалы өнімділігін есептейміз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Псм =(Тсм-tөз) * j * * ӨСБ (2)</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мұндағы Тсм-ауысым уақыты, Тсм = 8 сағат;</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J-ауысым уақытын пайдалану коэффициенті, j = 0,5...0,8;</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tpz-дайындық және қорытынды жұмыстар мен демалуға кететін уақыт, tpz ≈ 1 сағат.</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Псм =(8-1) ·0,7 · 0,4 = 1,96 га / см.</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Берілген жұмыс көлемін орындау үшін жұмыс істеу керек ауысымдардың санын есептейміз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(3)</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мұндағы w-жұмыс көлемі, га.</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Агрегаттардың жоспарлы санын мына формула бойынша анықтаймыз: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(4)</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мұндағы ксм-ауысымдық коэффициенті;</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ҚТГ - техникалық дайындық коэффициенті.</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Ауысым коэффициентінің шамасын таңдау кезінде жұмыс жүргізу кезеңіндегі жарық күнінің ұзақтығын ескеру қажет. Техникалық дайындық коэффициентінің шамасы кТг = 0,7...0,9.</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Пр агрегаттарының есептелген санын ппл-ны үлкен немесе кіші бағытта дөңгелектеу арқылы аламыз.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Бұл жағдайда дөңгелектеу жағымсыз, өйткені бұл операцияның ұзақтығын арттырады. Біз PR = 2 қабылдаймыз.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Жұмыс күндерінің нақтыланған санын есептейміз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 (5)</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Күнтізбелік күндердің нақтыланған саны</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lastRenderedPageBreak/>
        <w:t>; (6)</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Осылайша, екі агрегатпен 20.04-тен 7.04-ке дейін егуге болады.</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Есептеу нәтижелері 2-кестеге енгізіледі.</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Келесі операцияларды жоспарлау кезінде осы уақытта тракторлардың жұмыспен қамтылуы ескеріледі.</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ТКМ жобалау кезінде орман шаруашылығы машиналарының қажетті санын азайтуға және жылына кемінде 200 ауысымды тракторлардың орташа жүктемесін азайтуға тырысу керек. Бұған операцияларды ұтымды таңдау және агротехникалық мерзімдерді толық пайдалану арқылы қол жеткізіледі.</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Осы ТКМ-де егуден басқа, дақылдарды мульчирование, топырақ дайындау, қатараралық өңдеу және көшеттерді құрғақ минералды тыңайтқыштармен қоректендіру, суару және қазу және отырғызу материалын таңдау бойынша операциялар есептеледі.</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Агротехникалық күтулердің санын, жұмыс мерзімдерін және басқа да көптеген деректерді таңдағанда, ұсынылған әдебиеттерде келтірілген мәліметтерді басшылыққа алу керек [2, 3].</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Көптеген технологиялық кешендердің операциялары бірнеше жылдар бойы орындалғаны анық. Жобалау кезінде олар бір жыл ішінде бірдей ауданның әртүрлі учаскелерінде орындалады деп санаймыз.</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Тыңайтқыштарды енгізуге арналған машиналардың ауысымдық өнімділігін (га/сағ) есептеу кезінде оларды енгізу нормасымен белгілеу қажет.</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Мысал ретінде, MTZ-82 тракторы бар қондырғыдағы 1ptu-4 тыңайтқышының жартылай тіркемесін алайық. Оның өнімділігі 70 Т/сағ тең [1, Б.191].</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Компостты енгізу нормасын 30 Т / га-ға тең қабылдаймыз, содан кейін агрегаттың өнімділігі га / сағ құрайды:</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ӨСБ - 70 Т/сағ: 30 Т/га = 2,3 га/сағ.</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Ауысымдық өнімділік (2) формуласы бойынша есептеледі.</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Есептеулерді жүргізу кезінде нормативтік әдебиеттерде қате жазулардың болуын ескеру қажет [1]. Сондықтан алынған нәтижелерді өндірістің типтік нормаларымен салыстырған жөн [4, 5].</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Көшеттерді өсіру бойынша жұмыстарды жүргізу мерзімін таңдау кезінде, егер қолданылатын машиналар бір маркалы тракторлармен агрегатталса, оларды бір-бірімен келісу керек.</w:t>
      </w:r>
    </w:p>
    <w:p w:rsidR="00A707A5" w:rsidRP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Бұл жағдайда күнтізбелік мерзімдерді қолдану тракторлардың қажетті санын көбейтуді білдіреді.</w:t>
      </w:r>
    </w:p>
    <w:p w:rsidR="00A707A5" w:rsidRPr="00A707A5" w:rsidRDefault="00A707A5" w:rsidP="00A707A5">
      <w:pPr>
        <w:rPr>
          <w:rFonts w:ascii="Times New Roman" w:hAnsi="Times New Roman" w:cs="Times New Roman"/>
          <w:b/>
          <w:sz w:val="28"/>
          <w:szCs w:val="28"/>
          <w:lang w:val="kk-KZ"/>
        </w:rPr>
      </w:pPr>
    </w:p>
    <w:p w:rsidR="00A707A5" w:rsidRDefault="00A707A5" w:rsidP="00A707A5">
      <w:pPr>
        <w:rPr>
          <w:rFonts w:ascii="Times New Roman" w:hAnsi="Times New Roman" w:cs="Times New Roman"/>
          <w:b/>
          <w:sz w:val="28"/>
          <w:szCs w:val="28"/>
          <w:lang w:val="kk-KZ"/>
        </w:rPr>
      </w:pPr>
      <w:r w:rsidRPr="00A707A5">
        <w:rPr>
          <w:rFonts w:ascii="Times New Roman" w:hAnsi="Times New Roman" w:cs="Times New Roman"/>
          <w:b/>
          <w:sz w:val="28"/>
          <w:szCs w:val="28"/>
          <w:lang w:val="kk-KZ"/>
        </w:rPr>
        <w:t>Машинаны пайдалану кестесі А4 форматындағы парақтағы кесте негізінде құрылады. Графиктің мысалы суретте келтірілген. Сандар кестедегі операциялардың нөмірлерін көрсетеді. Штрихтау немесе түс операцияның машиналардың белгілі бір технологиялық кешеніне жататындығын көрсетеді. Жұмыстың жекелеген түрлерінде машинаны пайдалану кестесінің ең жоғары мәндеріне сәйкес жұмыс машиналарының қажетті саны анықталады және әр маркалы тракторлардың қажетті саны туралы қорытынды жасалады.</w:t>
      </w:r>
    </w:p>
    <w:p w:rsidR="00A707A5" w:rsidRDefault="00A707A5" w:rsidP="00A707A5">
      <w:pPr>
        <w:rPr>
          <w:rFonts w:ascii="Times New Roman" w:hAnsi="Times New Roman" w:cs="Times New Roman"/>
          <w:b/>
          <w:sz w:val="28"/>
          <w:szCs w:val="28"/>
          <w:lang w:val="kk-KZ"/>
        </w:rPr>
      </w:pPr>
      <w:r>
        <w:rPr>
          <w:noProof/>
        </w:rPr>
        <w:drawing>
          <wp:inline distT="0" distB="0" distL="0" distR="0">
            <wp:extent cx="5940425" cy="3421457"/>
            <wp:effectExtent l="19050" t="0" r="3175" b="0"/>
            <wp:docPr id="1" name="Рисунок 1" descr="https://lesprominform.ru/uploads/images/lpi112/ff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esprominform.ru/uploads/images/lpi112/ff3.jpg"/>
                    <pic:cNvPicPr>
                      <a:picLocks noChangeAspect="1" noChangeArrowheads="1"/>
                    </pic:cNvPicPr>
                  </pic:nvPicPr>
                  <pic:blipFill>
                    <a:blip r:embed="rId5" cstate="print"/>
                    <a:srcRect/>
                    <a:stretch>
                      <a:fillRect/>
                    </a:stretch>
                  </pic:blipFill>
                  <pic:spPr bwMode="auto">
                    <a:xfrm>
                      <a:off x="0" y="0"/>
                      <a:ext cx="5940425" cy="3421457"/>
                    </a:xfrm>
                    <a:prstGeom prst="rect">
                      <a:avLst/>
                    </a:prstGeom>
                    <a:noFill/>
                    <a:ln w="9525">
                      <a:noFill/>
                      <a:miter lim="800000"/>
                      <a:headEnd/>
                      <a:tailEnd/>
                    </a:ln>
                  </pic:spPr>
                </pic:pic>
              </a:graphicData>
            </a:graphic>
          </wp:inline>
        </w:drawing>
      </w:r>
    </w:p>
    <w:p w:rsidR="00A707A5" w:rsidRDefault="00A707A5" w:rsidP="00A707A5">
      <w:pPr>
        <w:rPr>
          <w:rFonts w:ascii="Times New Roman" w:hAnsi="Times New Roman" w:cs="Times New Roman"/>
          <w:b/>
          <w:sz w:val="28"/>
          <w:szCs w:val="28"/>
          <w:lang w:val="kk-KZ"/>
        </w:rPr>
      </w:pPr>
      <w:r>
        <w:rPr>
          <w:noProof/>
        </w:rPr>
        <w:lastRenderedPageBreak/>
        <w:drawing>
          <wp:inline distT="0" distB="0" distL="0" distR="0">
            <wp:extent cx="3808730" cy="3736975"/>
            <wp:effectExtent l="19050" t="0" r="1270" b="0"/>
            <wp:docPr id="4" name="Рисунок 4" descr="https://lesprominform.ru/uploads/images/lpi113/kuva_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esprominform.ru/uploads/images/lpi113/kuva_18.jpg"/>
                    <pic:cNvPicPr>
                      <a:picLocks noChangeAspect="1" noChangeArrowheads="1"/>
                    </pic:cNvPicPr>
                  </pic:nvPicPr>
                  <pic:blipFill>
                    <a:blip r:embed="rId6" cstate="print"/>
                    <a:srcRect/>
                    <a:stretch>
                      <a:fillRect/>
                    </a:stretch>
                  </pic:blipFill>
                  <pic:spPr bwMode="auto">
                    <a:xfrm>
                      <a:off x="0" y="0"/>
                      <a:ext cx="3808730" cy="3736975"/>
                    </a:xfrm>
                    <a:prstGeom prst="rect">
                      <a:avLst/>
                    </a:prstGeom>
                    <a:noFill/>
                    <a:ln w="9525">
                      <a:noFill/>
                      <a:miter lim="800000"/>
                      <a:headEnd/>
                      <a:tailEnd/>
                    </a:ln>
                  </pic:spPr>
                </pic:pic>
              </a:graphicData>
            </a:graphic>
          </wp:inline>
        </w:drawing>
      </w:r>
    </w:p>
    <w:p w:rsidR="00A707A5" w:rsidRDefault="00A707A5" w:rsidP="00A707A5">
      <w:pPr>
        <w:rPr>
          <w:rFonts w:ascii="Times New Roman" w:hAnsi="Times New Roman" w:cs="Times New Roman"/>
          <w:b/>
          <w:sz w:val="28"/>
          <w:szCs w:val="28"/>
          <w:lang w:val="kk-KZ"/>
        </w:rPr>
      </w:pPr>
    </w:p>
    <w:p w:rsidR="00A707A5" w:rsidRPr="00A707A5" w:rsidRDefault="00A707A5" w:rsidP="00A707A5">
      <w:pPr>
        <w:rPr>
          <w:rFonts w:ascii="Times New Roman" w:hAnsi="Times New Roman" w:cs="Times New Roman"/>
          <w:b/>
          <w:sz w:val="28"/>
          <w:szCs w:val="28"/>
          <w:lang w:val="kk-KZ"/>
        </w:rPr>
      </w:pPr>
      <w:r>
        <w:rPr>
          <w:noProof/>
        </w:rPr>
        <w:drawing>
          <wp:inline distT="0" distB="0" distL="0" distR="0">
            <wp:extent cx="5940425" cy="3340510"/>
            <wp:effectExtent l="19050" t="0" r="3175" b="0"/>
            <wp:docPr id="7" name="Рисунок 7" descr="https://www.greenmich.ru/%D0%BB%D0%B0%D0%BD%D0%B4%D1%88%D0%B0%D1%84%D1%82%D0%BD%D1%8B%D0%B9%20%D0%BF%D1%80%D0%BE%D0%B5%D0%BA%D1%82/FotorCrea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greenmich.ru/%D0%BB%D0%B0%D0%BD%D0%B4%D1%88%D0%B0%D1%84%D1%82%D0%BD%D1%8B%D0%B9%20%D0%BF%D1%80%D0%BE%D0%B5%D0%BA%D1%82/FotorCreated.jpg"/>
                    <pic:cNvPicPr>
                      <a:picLocks noChangeAspect="1" noChangeArrowheads="1"/>
                    </pic:cNvPicPr>
                  </pic:nvPicPr>
                  <pic:blipFill>
                    <a:blip r:embed="rId7" cstate="print"/>
                    <a:srcRect/>
                    <a:stretch>
                      <a:fillRect/>
                    </a:stretch>
                  </pic:blipFill>
                  <pic:spPr bwMode="auto">
                    <a:xfrm>
                      <a:off x="0" y="0"/>
                      <a:ext cx="5940425" cy="3340510"/>
                    </a:xfrm>
                    <a:prstGeom prst="rect">
                      <a:avLst/>
                    </a:prstGeom>
                    <a:noFill/>
                    <a:ln w="9525">
                      <a:noFill/>
                      <a:miter lim="800000"/>
                      <a:headEnd/>
                      <a:tailEnd/>
                    </a:ln>
                  </pic:spPr>
                </pic:pic>
              </a:graphicData>
            </a:graphic>
          </wp:inline>
        </w:drawing>
      </w:r>
    </w:p>
    <w:sectPr w:rsidR="00A707A5" w:rsidRPr="00A707A5" w:rsidSect="006310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7A5"/>
    <w:rsid w:val="0035308E"/>
    <w:rsid w:val="0063101D"/>
    <w:rsid w:val="00A707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707A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707A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707A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707A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940</Words>
  <Characters>5364</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Елибек Асангалиев</cp:lastModifiedBy>
  <cp:revision>2</cp:revision>
  <dcterms:created xsi:type="dcterms:W3CDTF">2021-09-01T04:13:00Z</dcterms:created>
  <dcterms:modified xsi:type="dcterms:W3CDTF">2021-09-01T04:13:00Z</dcterms:modified>
</cp:coreProperties>
</file>