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427" w:rsidRDefault="007B7FB5" w:rsidP="00062B00">
      <w:pPr>
        <w:jc w:val="both"/>
        <w:rPr>
          <w:rFonts w:ascii="Times New Roman" w:hAnsi="Times New Roman" w:cs="Times New Roman"/>
          <w:b/>
          <w:sz w:val="28"/>
          <w:szCs w:val="28"/>
          <w:shd w:val="clear" w:color="auto" w:fill="F3F5F9"/>
          <w:lang w:val="kk-KZ"/>
        </w:rPr>
      </w:pPr>
      <w:bookmarkStart w:id="0" w:name="_GoBack"/>
      <w:bookmarkEnd w:id="0"/>
      <w:r w:rsidRPr="00062B00">
        <w:rPr>
          <w:rFonts w:ascii="Times New Roman" w:hAnsi="Times New Roman" w:cs="Times New Roman"/>
          <w:b/>
          <w:color w:val="000000"/>
          <w:sz w:val="28"/>
          <w:szCs w:val="28"/>
          <w:lang w:val="kk-KZ"/>
        </w:rPr>
        <w:t>Тақырып 3</w:t>
      </w:r>
      <w:r w:rsidRPr="00062B00">
        <w:rPr>
          <w:rFonts w:ascii="Times New Roman" w:hAnsi="Times New Roman" w:cs="Times New Roman"/>
          <w:b/>
          <w:sz w:val="28"/>
          <w:szCs w:val="28"/>
          <w:lang w:val="kk-KZ"/>
        </w:rPr>
        <w:t xml:space="preserve">. </w:t>
      </w:r>
      <w:r w:rsidRPr="00062B00">
        <w:rPr>
          <w:rFonts w:ascii="Times New Roman" w:hAnsi="Times New Roman" w:cs="Times New Roman"/>
          <w:b/>
          <w:sz w:val="28"/>
          <w:szCs w:val="28"/>
          <w:shd w:val="clear" w:color="auto" w:fill="F3F5F9"/>
          <w:lang w:val="kk-KZ"/>
        </w:rPr>
        <w:t>Көшеттіктерге және басқа көп жылдық екпелерді отырғызуға жер телімін жобалау жұмыстары</w:t>
      </w:r>
    </w:p>
    <w:p w:rsidR="00062B00" w:rsidRDefault="00062B00" w:rsidP="00062B00">
      <w:pPr>
        <w:jc w:val="both"/>
        <w:rPr>
          <w:rFonts w:ascii="Times New Roman" w:hAnsi="Times New Roman" w:cs="Times New Roman"/>
          <w:b/>
          <w:sz w:val="28"/>
          <w:szCs w:val="28"/>
          <w:shd w:val="clear" w:color="auto" w:fill="F3F5F9"/>
          <w:lang w:val="kk-KZ"/>
        </w:rPr>
      </w:pPr>
    </w:p>
    <w:p w:rsidR="00062B00" w:rsidRDefault="00062B00" w:rsidP="00062B00">
      <w:pPr>
        <w:jc w:val="both"/>
        <w:rPr>
          <w:rFonts w:ascii="Times New Roman" w:hAnsi="Times New Roman" w:cs="Times New Roman"/>
          <w:sz w:val="28"/>
          <w:szCs w:val="28"/>
          <w:lang w:val="kk-KZ"/>
        </w:rPr>
      </w:pPr>
      <w:r w:rsidRPr="00062B00">
        <w:rPr>
          <w:rFonts w:ascii="Times New Roman" w:hAnsi="Times New Roman" w:cs="Times New Roman"/>
          <w:sz w:val="28"/>
          <w:szCs w:val="28"/>
          <w:lang w:val="kk-KZ"/>
        </w:rPr>
        <w:t xml:space="preserve">Финляндияда механикаландырылған </w:t>
      </w:r>
      <w:r w:rsidRPr="00062B00">
        <w:rPr>
          <w:rFonts w:ascii="Times New Roman" w:hAnsi="Times New Roman" w:cs="Times New Roman"/>
          <w:sz w:val="28"/>
          <w:szCs w:val="28"/>
          <w:shd w:val="clear" w:color="auto" w:fill="F3F5F9"/>
          <w:lang w:val="kk-KZ"/>
        </w:rPr>
        <w:t>отырғызуға</w:t>
      </w:r>
      <w:r w:rsidRPr="00062B00">
        <w:rPr>
          <w:rFonts w:ascii="Times New Roman" w:hAnsi="Times New Roman" w:cs="Times New Roman"/>
          <w:sz w:val="28"/>
          <w:szCs w:val="28"/>
          <w:lang w:val="kk-KZ"/>
        </w:rPr>
        <w:t xml:space="preserve"> бірнеше ондаған жылдар бойы техниканың әртүрлі түрлерін қолдана отырып, механикаландырылған </w:t>
      </w:r>
      <w:r w:rsidRPr="00062B00">
        <w:rPr>
          <w:rFonts w:ascii="Times New Roman" w:hAnsi="Times New Roman" w:cs="Times New Roman"/>
          <w:sz w:val="28"/>
          <w:szCs w:val="28"/>
          <w:shd w:val="clear" w:color="auto" w:fill="F3F5F9"/>
          <w:lang w:val="kk-KZ"/>
        </w:rPr>
        <w:t>отырғызу</w:t>
      </w:r>
      <w:r w:rsidRPr="00062B00">
        <w:rPr>
          <w:rFonts w:ascii="Times New Roman" w:hAnsi="Times New Roman" w:cs="Times New Roman"/>
          <w:sz w:val="28"/>
          <w:szCs w:val="28"/>
          <w:lang w:val="kk-KZ"/>
        </w:rPr>
        <w:t xml:space="preserve"> бойынша эксперименттер жүргізілуде, бірақ соған қарамастан, әлі күнге дейін </w:t>
      </w:r>
      <w:r w:rsidRPr="00062B00">
        <w:rPr>
          <w:rFonts w:ascii="Times New Roman" w:hAnsi="Times New Roman" w:cs="Times New Roman"/>
          <w:sz w:val="28"/>
          <w:szCs w:val="28"/>
          <w:shd w:val="clear" w:color="auto" w:fill="F3F5F9"/>
          <w:lang w:val="kk-KZ"/>
        </w:rPr>
        <w:t>отырғызу</w:t>
      </w:r>
      <w:r w:rsidRPr="00062B00">
        <w:rPr>
          <w:rFonts w:ascii="Times New Roman" w:hAnsi="Times New Roman" w:cs="Times New Roman"/>
          <w:sz w:val="28"/>
          <w:szCs w:val="28"/>
          <w:lang w:val="kk-KZ"/>
        </w:rPr>
        <w:t xml:space="preserve"> жұмыстарының аз ғана бөлігі механикаландырылған тәсілмен жүзеге асырылады. Орман дақылдарын отырғызудың негізгі машинасы ретінде экскаватор немесе харвестер қолданылады. Механикаландырылған отырғызу кезінде топырақты өңдеу және отырғызу жұмыстары бір уақытта бірдей машинамен жүргізілетіндіктен, бұл орманды қалпына келтіру объектісінде осы жұмыстардың барлық кешенін бір уақытта аяқтауға мүмкіндік береді. Механикалық отырғызу орманды қалпына келтіру объектілері үшін қолайлы, мұнда топырақты өңдеу үшін микроповышенияларды жергілікті құру әдісі қолданылады. Нысанды таңдау, объектіні таңдау және операторды жоғары кәсіби даярлау-бұл жақсы сапа мен еңбек өнімділігін қамтамасыз етудің қажетті шарттары. Орманды қалпына келтіру шеңберінде орман дақылдарын механикаландырылған отырғызуға болады</w:t>
      </w:r>
      <w:r>
        <w:rPr>
          <w:rFonts w:ascii="Times New Roman" w:hAnsi="Times New Roman" w:cs="Times New Roman"/>
          <w:sz w:val="28"/>
          <w:szCs w:val="28"/>
          <w:lang w:val="kk-KZ"/>
        </w:rPr>
        <w:t>.</w:t>
      </w:r>
      <w:r w:rsidRPr="00062B00">
        <w:rPr>
          <w:lang w:val="kk-KZ"/>
        </w:rPr>
        <w:t xml:space="preserve"> </w:t>
      </w:r>
      <w:r w:rsidRPr="00062B00">
        <w:rPr>
          <w:rFonts w:ascii="Times New Roman" w:hAnsi="Times New Roman" w:cs="Times New Roman"/>
          <w:sz w:val="28"/>
          <w:szCs w:val="28"/>
          <w:lang w:val="kk-KZ"/>
        </w:rPr>
        <w:t>Микро</w:t>
      </w:r>
      <w:r>
        <w:rPr>
          <w:rFonts w:ascii="Times New Roman" w:hAnsi="Times New Roman" w:cs="Times New Roman"/>
          <w:sz w:val="28"/>
          <w:szCs w:val="28"/>
          <w:lang w:val="kk-KZ"/>
        </w:rPr>
        <w:t xml:space="preserve"> жер телімін жоғарлату әдістемесін </w:t>
      </w:r>
      <w:r w:rsidRPr="00062B00">
        <w:rPr>
          <w:rFonts w:ascii="Times New Roman" w:hAnsi="Times New Roman" w:cs="Times New Roman"/>
          <w:sz w:val="28"/>
          <w:szCs w:val="28"/>
          <w:lang w:val="kk-KZ"/>
        </w:rPr>
        <w:t xml:space="preserve">жасауға болатын барлық дерлік объектілердің механикаландырылған ағаш отырғызу үшін де жарамды екендігіне сүйену керек.Объектіні таңдауға әсер ететін факторлар: 1)Топырақтың тасты болуы;2)объектінің ауданы;3)өсу орны;4)ағаш тұқымы;5) су режимі және объектідегі еңіс.Топырақтың тасты болуының жоғары деңгейі механикаландырылған отырғызуды едәуір қиындатады және баяулатады. Осыған байланысты өңдеуге жататын қалыңдығы шамамен 20-30 сантиметр болатын қарашірік пен минерал қабаттарының жартастық дәрежесі маңызды фактор болып табылады. Жартасты визуалды бағалау нақты нәтиже бермейді, сондықтан бұл параметрді анықтау үшін, мысалы, механикалық зондты қолданады(сурет. 2), бұл шұңқырдың тастармен байланысының пайыздық үлесін 20 сантиметрден артық өлшеуге мүмкіндік береді. Егер бұл үлес 60%-дан аспайтын болса, объект механикалық қону үшін жарамды болып табылады.Механикаландырылған қону қолданылатын объектінің ауданы шығындар тиімділігінің қажетті деңгейін қамтамасыз ету үшін жеткілікті үлкен болуы керек. Шағын объектілерде жабдықтың қозғалысы және басқа да қосалқы операциялар тым көп жұмыс уақытын алады, бұл бір ауданға бағаның өсуіне әкеледі. Іс жүзінде орманды қалпына келтіру объектісінің ауданы бір гектардан кем болмауы тиіс.Механикаландырылған отырғызу </w:t>
      </w:r>
      <w:r w:rsidRPr="00062B00">
        <w:rPr>
          <w:rFonts w:ascii="Times New Roman" w:hAnsi="Times New Roman" w:cs="Times New Roman"/>
          <w:sz w:val="28"/>
          <w:szCs w:val="28"/>
          <w:lang w:val="kk-KZ"/>
        </w:rPr>
        <w:lastRenderedPageBreak/>
        <w:t>үшін өсу орындарының ішінде ылғалды шөгінділер мен көп қоректік өндіріс орындары, сондай-ақ микро төбелерді құруға болатын құрғақ шөгінділер қолайлы, өйткені механикаландырылған отырғызу кезінде топырақты өңдеу үшін микроповышенияларды жергілікті құру әдісі қолданылады. Механикалық отырғызу, ең алдымен, минералды топырақтарда жүзеге асырылады, өйткені оны жүзеге асыру үшін шымтезек батпақтарында әлі де аз ғылыми-зерттеу ақпараты бар.</w:t>
      </w:r>
    </w:p>
    <w:p w:rsidR="00E93F14" w:rsidRDefault="00E93F14" w:rsidP="00062B00">
      <w:pPr>
        <w:jc w:val="both"/>
        <w:rPr>
          <w:rFonts w:ascii="Times New Roman" w:hAnsi="Times New Roman" w:cs="Times New Roman"/>
          <w:sz w:val="28"/>
          <w:szCs w:val="28"/>
          <w:lang w:val="kk-KZ"/>
        </w:rPr>
      </w:pPr>
    </w:p>
    <w:p w:rsidR="00E93F14" w:rsidRDefault="00E93F14" w:rsidP="00062B00">
      <w:pPr>
        <w:jc w:val="both"/>
        <w:rPr>
          <w:rFonts w:ascii="Times New Roman" w:hAnsi="Times New Roman" w:cs="Times New Roman"/>
          <w:sz w:val="28"/>
          <w:szCs w:val="28"/>
          <w:lang w:val="kk-KZ"/>
        </w:rPr>
      </w:pPr>
      <w:r>
        <w:rPr>
          <w:noProof/>
        </w:rPr>
        <w:drawing>
          <wp:inline distT="0" distB="0" distL="0" distR="0">
            <wp:extent cx="5940425" cy="4457794"/>
            <wp:effectExtent l="19050" t="0" r="3175" b="0"/>
            <wp:docPr id="1" name="Рисунок 1" descr="http://images.myshared.ru/9/951218/slide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yshared.ru/9/951218/slide_10.jpg"/>
                    <pic:cNvPicPr>
                      <a:picLocks noChangeAspect="1" noChangeArrowheads="1"/>
                    </pic:cNvPicPr>
                  </pic:nvPicPr>
                  <pic:blipFill>
                    <a:blip r:embed="rId5" cstate="print"/>
                    <a:srcRect/>
                    <a:stretch>
                      <a:fillRect/>
                    </a:stretch>
                  </pic:blipFill>
                  <pic:spPr bwMode="auto">
                    <a:xfrm>
                      <a:off x="0" y="0"/>
                      <a:ext cx="5940425" cy="4457794"/>
                    </a:xfrm>
                    <a:prstGeom prst="rect">
                      <a:avLst/>
                    </a:prstGeom>
                    <a:noFill/>
                    <a:ln w="9525">
                      <a:noFill/>
                      <a:miter lim="800000"/>
                      <a:headEnd/>
                      <a:tailEnd/>
                    </a:ln>
                  </pic:spPr>
                </pic:pic>
              </a:graphicData>
            </a:graphic>
          </wp:inline>
        </w:drawing>
      </w:r>
    </w:p>
    <w:p w:rsidR="00E93F14" w:rsidRDefault="00E93F14" w:rsidP="00062B00">
      <w:pPr>
        <w:jc w:val="both"/>
        <w:rPr>
          <w:rFonts w:ascii="Times New Roman" w:hAnsi="Times New Roman" w:cs="Times New Roman"/>
          <w:sz w:val="28"/>
          <w:szCs w:val="28"/>
          <w:lang w:val="kk-KZ"/>
        </w:rPr>
      </w:pPr>
      <w:r>
        <w:rPr>
          <w:noProof/>
        </w:rPr>
        <w:lastRenderedPageBreak/>
        <w:drawing>
          <wp:inline distT="0" distB="0" distL="0" distR="0">
            <wp:extent cx="3808730" cy="2854325"/>
            <wp:effectExtent l="19050" t="0" r="1270" b="0"/>
            <wp:docPr id="4" name="Рисунок 4" descr="https://lesprominform.ru/uploads/images/lpi112/kuva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2/kuva_5.jpg"/>
                    <pic:cNvPicPr>
                      <a:picLocks noChangeAspect="1" noChangeArrowheads="1"/>
                    </pic:cNvPicPr>
                  </pic:nvPicPr>
                  <pic:blipFill>
                    <a:blip r:embed="rId6" cstate="print"/>
                    <a:srcRect/>
                    <a:stretch>
                      <a:fillRect/>
                    </a:stretch>
                  </pic:blipFill>
                  <pic:spPr bwMode="auto">
                    <a:xfrm>
                      <a:off x="0" y="0"/>
                      <a:ext cx="3808730" cy="2854325"/>
                    </a:xfrm>
                    <a:prstGeom prst="rect">
                      <a:avLst/>
                    </a:prstGeom>
                    <a:noFill/>
                    <a:ln w="9525">
                      <a:noFill/>
                      <a:miter lim="800000"/>
                      <a:headEnd/>
                      <a:tailEnd/>
                    </a:ln>
                  </pic:spPr>
                </pic:pic>
              </a:graphicData>
            </a:graphic>
          </wp:inline>
        </w:drawing>
      </w:r>
    </w:p>
    <w:p w:rsidR="00E93F14" w:rsidRDefault="00E93F14" w:rsidP="00062B00">
      <w:pPr>
        <w:jc w:val="both"/>
        <w:rPr>
          <w:rFonts w:ascii="Times New Roman" w:hAnsi="Times New Roman" w:cs="Times New Roman"/>
          <w:sz w:val="28"/>
          <w:szCs w:val="28"/>
          <w:lang w:val="kk-KZ"/>
        </w:rPr>
      </w:pPr>
      <w:r>
        <w:rPr>
          <w:noProof/>
        </w:rPr>
        <w:drawing>
          <wp:inline distT="0" distB="0" distL="0" distR="0">
            <wp:extent cx="2854325" cy="2051685"/>
            <wp:effectExtent l="19050" t="0" r="3175" b="0"/>
            <wp:docPr id="7" name="Рисунок 7" descr="https://lesprominform.ru/uploads/images/lpi112/small/f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esprominform.ru/uploads/images/lpi112/small/ff2.jpg"/>
                    <pic:cNvPicPr>
                      <a:picLocks noChangeAspect="1" noChangeArrowheads="1"/>
                    </pic:cNvPicPr>
                  </pic:nvPicPr>
                  <pic:blipFill>
                    <a:blip r:embed="rId7" cstate="print"/>
                    <a:srcRect/>
                    <a:stretch>
                      <a:fillRect/>
                    </a:stretch>
                  </pic:blipFill>
                  <pic:spPr bwMode="auto">
                    <a:xfrm>
                      <a:off x="0" y="0"/>
                      <a:ext cx="2854325" cy="2051685"/>
                    </a:xfrm>
                    <a:prstGeom prst="rect">
                      <a:avLst/>
                    </a:prstGeom>
                    <a:noFill/>
                    <a:ln w="9525">
                      <a:noFill/>
                      <a:miter lim="800000"/>
                      <a:headEnd/>
                      <a:tailEnd/>
                    </a:ln>
                  </pic:spPr>
                </pic:pic>
              </a:graphicData>
            </a:graphic>
          </wp:inline>
        </w:drawing>
      </w:r>
    </w:p>
    <w:p w:rsidR="00E93F14" w:rsidRPr="00062B00" w:rsidRDefault="00E93F14" w:rsidP="00062B00">
      <w:pPr>
        <w:jc w:val="both"/>
        <w:rPr>
          <w:rFonts w:ascii="Times New Roman" w:hAnsi="Times New Roman" w:cs="Times New Roman"/>
          <w:sz w:val="28"/>
          <w:szCs w:val="28"/>
          <w:lang w:val="kk-KZ"/>
        </w:rPr>
      </w:pPr>
      <w:r>
        <w:rPr>
          <w:noProof/>
        </w:rPr>
        <w:drawing>
          <wp:inline distT="0" distB="0" distL="0" distR="0">
            <wp:extent cx="5940425" cy="3708061"/>
            <wp:effectExtent l="19050" t="0" r="3175" b="0"/>
            <wp:docPr id="10" name="Рисунок 10" descr="https://mf.bmstu.ru/info/faculty/lt/caf/lt1/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f.bmstu.ru/info/faculty/lt/caf/lt1/img/12.jpg"/>
                    <pic:cNvPicPr>
                      <a:picLocks noChangeAspect="1" noChangeArrowheads="1"/>
                    </pic:cNvPicPr>
                  </pic:nvPicPr>
                  <pic:blipFill>
                    <a:blip r:embed="rId8" cstate="print"/>
                    <a:srcRect/>
                    <a:stretch>
                      <a:fillRect/>
                    </a:stretch>
                  </pic:blipFill>
                  <pic:spPr bwMode="auto">
                    <a:xfrm>
                      <a:off x="0" y="0"/>
                      <a:ext cx="5940425" cy="3708061"/>
                    </a:xfrm>
                    <a:prstGeom prst="rect">
                      <a:avLst/>
                    </a:prstGeom>
                    <a:noFill/>
                    <a:ln w="9525">
                      <a:noFill/>
                      <a:miter lim="800000"/>
                      <a:headEnd/>
                      <a:tailEnd/>
                    </a:ln>
                  </pic:spPr>
                </pic:pic>
              </a:graphicData>
            </a:graphic>
          </wp:inline>
        </w:drawing>
      </w:r>
    </w:p>
    <w:sectPr w:rsidR="00E93F14" w:rsidRPr="00062B00"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FB5"/>
    <w:rsid w:val="00062B00"/>
    <w:rsid w:val="00736427"/>
    <w:rsid w:val="007B7FB5"/>
    <w:rsid w:val="00D376F3"/>
    <w:rsid w:val="00E93F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3F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3F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3F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3F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428</Words>
  <Characters>2445</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2021-09-01T04:07:00Z</dcterms:created>
  <dcterms:modified xsi:type="dcterms:W3CDTF">2021-09-01T04:07:00Z</dcterms:modified>
</cp:coreProperties>
</file>