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94" w:rsidRDefault="009A2384">
      <w:pPr>
        <w:rPr>
          <w:rFonts w:ascii="Times New Roman" w:hAnsi="Times New Roman" w:cs="Times New Roman"/>
          <w:sz w:val="28"/>
          <w:szCs w:val="28"/>
        </w:rPr>
      </w:pPr>
      <w:r w:rsidRPr="009A2384">
        <w:rPr>
          <w:rFonts w:ascii="Times New Roman" w:hAnsi="Times New Roman" w:cs="Times New Roman"/>
          <w:sz w:val="28"/>
          <w:szCs w:val="28"/>
        </w:rPr>
        <w:t>Лекция-10</w:t>
      </w:r>
    </w:p>
    <w:p w:rsidR="009A2384" w:rsidRDefault="009A2384">
      <w:pPr>
        <w:rPr>
          <w:rFonts w:ascii="Times New Roman" w:hAnsi="Times New Roman" w:cs="Times New Roman"/>
          <w:sz w:val="28"/>
          <w:szCs w:val="28"/>
        </w:rPr>
      </w:pP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Жолдар мен алаңдардың жіктелуі және олардың тағайындалуы</w:t>
      </w:r>
    </w:p>
    <w:p w:rsidR="009A2384" w:rsidRPr="00DC78D2" w:rsidRDefault="009A2384" w:rsidP="009A2384">
      <w:pPr>
        <w:spacing w:after="0" w:line="240" w:lineRule="auto"/>
        <w:jc w:val="both"/>
        <w:rPr>
          <w:rFonts w:ascii="Times New Roman" w:hAnsi="Times New Roman" w:cs="Times New Roman"/>
          <w:sz w:val="28"/>
          <w:szCs w:val="28"/>
          <w:lang w:val="kk-KZ"/>
        </w:rPr>
      </w:pP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Объектінің жол жазықтық құрылыстары оның Көлік және жаяу жүргіншілер негізін құрайды. Жол-тропикалық желіні дұрыс жобалаудан, іріктеуден</w:t>
      </w:r>
      <w:r>
        <w:rPr>
          <w:rFonts w:ascii="Times New Roman" w:hAnsi="Times New Roman" w:cs="Times New Roman"/>
          <w:sz w:val="28"/>
          <w:szCs w:val="28"/>
          <w:lang w:val="kk-KZ"/>
        </w:rPr>
        <w:t xml:space="preserve"> </w:t>
      </w:r>
      <w:r w:rsidRPr="00DC78D2">
        <w:rPr>
          <w:rFonts w:ascii="Times New Roman" w:hAnsi="Times New Roman" w:cs="Times New Roman"/>
          <w:sz w:val="28"/>
          <w:szCs w:val="28"/>
          <w:lang w:val="kk-KZ"/>
        </w:rPr>
        <w:t>жол төсемелерінің құрылыс материалдары мен жамылғылардың нақты орындалуы бүкіл объектінің болашақ өміршеңдігі байланысты болады. Жол жамылғысының элементтері жазықтық спорт ғимараттарын салу кезінде де қолданылады.</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Жол-тропикалық желі келушілерге объектінің әрбір элементіне ыңғайлы және қысқа жолмен жетуге; серуендеу маршруттарын, алаңдарда белсенді және тыныш демалу орындарын анықтауға мүмкіндік береді; сондай-ақ жер үсті нөсерлі және еріген сулардың аумағынан жалпы бұруға көмектеседі. Объект аумағының жалпы балансында жол-тропин желісі оның ауданының 5-25% - ын алуы мүмкін. Келушілерді аумақ бойынша бөлуге және олардың қозғалысына байланысты жол-тропикалық желі бес сыныпқа бөлінеді:</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бірінші сынып-басты магистральды жолдар, рожки дейін, аллеялар, олар бойынша келушілердің негізгі ағындары бөлінеді. Олар өлшемі кең (10-30 м) болуы тиіс және әдетте қатты жоғары жабыны бар киімнің аз тозбайтын және берік конструкциялары болуы тиіс;</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екінші сынып-басты магистральдық жолдар мен аллеяларды қосатын және келушілерді объект аумағы бойынша біркелкі бөлуге және оларды белгілі бір парк элементтеріне шығаруға арналған екінші дәрежелі жолдар мен жолдар. Олардың ені 4,5-10 м; жоғарғы жабын материалдардың арнайы қоспасынан тұратын қатты жинақталған плиткадан жұмсақ плитаға дейін қабылданады;</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үшінші сынып — объектінің жекелеген элементтерін қосатын ені 2,5—5 м қосымша жолдар; жоғарғы жабыны жұмсақ немесе қатты құрама плиткалы;</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төртінші сынып-бір немесе екі келушінің қозғалысына арналған соқпақтар. Жұмсақ немесе топырақ жамылғысы және ені 0,75-тен 1,5 м-ге дейін;</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бесінші сынып-ағымдағы және күрделі жөндеуге арналған құрылыс материалдары мен жабдықтарын, сондай-ақ саудаға арналған тауарларды жеткізу бойынша көлік қозғалысы бар шаруашылық мақсаттағы жолдар.</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Ірі бақ-саябақ объектілерін '(саябақтар, орман саябақтары, бақтар) қолданылады барлық бес сынып жол төсемдері. Бульварлар, скверлер, шағын бақтар үшін бірінші үш сыныпты жолдар тән. На микрорайонных көгалдандырудың уақытша сипаты кезінде үшінші және төртінші сыныпты жолдар (магистральдар бойынша жаяу жүргіншілердің негізгі қозғалысын қамтамасыз ететін жолдарды қоспағанда) көзделеді.</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Су бұру мақсатында жолдарға жоғарғы жабындардың материалдарына байланысты еңістер беріледі. Қатты жамылғысы бар жолдардың (асфальт, бетон, плитка) үстіңгі бетінің көлденең еңісі 0,015—0,002; материалдардың арнайы қоспасынан жасалған жұмсақ жоғарғы жабыны бар — 0,03—0,06 </w:t>
      </w:r>
      <w:r w:rsidRPr="00DC78D2">
        <w:rPr>
          <w:rFonts w:ascii="Times New Roman" w:hAnsi="Times New Roman" w:cs="Times New Roman"/>
          <w:sz w:val="28"/>
          <w:szCs w:val="28"/>
          <w:lang w:val="kk-KZ"/>
        </w:rPr>
        <w:lastRenderedPageBreak/>
        <w:t>болады. Дәл көлденең еңістер жолдың еніне байланысты жобамен анықталады, бұл ретте барлық жолдар мен магистральдар дөңес екі кесекті немесе бір жаққа бағытталған тік бір қисық көлденең бейінмен (беткей бойынша жолдарда) орнатылады (сурет. 14). Су ағызу үшін 0,006-дан 0,07-ге дейінгі жолдардың үлес еңістері маңызды. Жер бетінің рұқсат етілген 0,07-ден жоғары еңіс жағдайында қозғалуға ыңғайлы болу үшін баспалдақтарды орнату қажет.</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Жолдардың бақ-парк элементтерімен түйісуі жер қыртысы, арнайы көмегімен жүзеге асырылады-</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 </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(ағаш, бетон, тас және т.б.) немесе су бұру құрылғылары (науалар). КСРО елдерінің солтүстік, солтүстік-батыс және орталық аудандарында жолдардың шекаралары бойынша ашық су бұру науалары немесе рельеф сынықтарында нөсерлі жаңбырқабырғыш — құдықтары бар жабық нөсерлі кәріз орнатылады. Елдің оңтүстік аудандарында жолдар оларға ілеспе учаскелерден жоғары орналасқан, бұл жауын-шашын кезінде атмосфералық суды жоғарғы қабаттан қосымша ылғалға мұқтаж жасыл желектердің учаскелеріне бөлуге мүмкіндік береді.</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Бақ-саябақ алаңдары төрт санатқа бөлінеді:</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1) демалуға арналған алаңдар-активке арналған</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дық және тынық демалыс балалар және ересек халықтың:</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балаларға арналған; ересектердің тыныш демалуына арналған алаңдар</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көпшілік ойындар мен аттракциондармен серуендеу және т. б.;</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2) спорт алаңдары-шымылдыққа арналған</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шаралар әр түрлі ойын спорт түрлерімен және ол сәйкестік</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ескі атаулар: волейбол, баскетбол, ақ</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босандыру, гандбол, үстел теннисі, шахмат,</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шашек және т. б.;</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3) шаруашылық алаңдары — орнату үшін қызмет етеді</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жылжымалы қызметтік үй-жайлар: сақтауға арналған ларей</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жиналған қоқыс жинау орындары</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р контейнерлерде және т. б.;</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4) припавильонные алаңдары — қызмет үшін ыңғайлы</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әр түрлі павильондар мен құрылыстарға кіреберіс</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оларды күрделі жөндеу, шығару</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жабдықтарды.</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Барлық алаңдар құрғақ, өлшенген жерлерде орнатылады. Олардың жоғарғы қабаты атмосфералық жауын— шашынның үстімен төгілуі үшін қолайлы жағдай жасайтын және алаңдарды пайдаланудың қолайлылығын төмендетпейтін 0,006-0,03 еңістерімен тегістеледі. 0,03 еңісі алаңда тұрақты қозғалыс үшін қолайсыз. Кейбір жағдайларда (ал спорт алаңдарында — міндетті түрде) жер асты суларының тұру деңгейін төмендету үшін дренаж орнатылады.</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11.2. Жол жамылғысының негізгі материалдары</w:t>
      </w:r>
    </w:p>
    <w:p w:rsidR="009A2384" w:rsidRPr="00DC78D2" w:rsidRDefault="009A2384" w:rsidP="009A2384">
      <w:pPr>
        <w:spacing w:after="0" w:line="240" w:lineRule="auto"/>
        <w:jc w:val="both"/>
        <w:rPr>
          <w:rFonts w:ascii="Times New Roman" w:hAnsi="Times New Roman" w:cs="Times New Roman"/>
          <w:sz w:val="28"/>
          <w:szCs w:val="28"/>
          <w:lang w:val="kk-KZ"/>
        </w:rPr>
      </w:pP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lastRenderedPageBreak/>
        <w:t>Бақ-саябақ жолдары мен алаңшаларды салу кезінде табиғи, табиғи тас материалдар да, жасанды жолмен алынған инертті материалдар да, негізінен әртүрлі өнеркәсіптік өндірістердің қалдықтары да қолданылады. Талап етілетін материалдың үлкен көлемін (1 га жол жамылғысына 2-3 мың м</w:t>
      </w:r>
      <w:r w:rsidRPr="006676DF">
        <w:rPr>
          <w:rFonts w:ascii="Times New Roman" w:hAnsi="Times New Roman" w:cs="Times New Roman"/>
          <w:sz w:val="28"/>
          <w:szCs w:val="28"/>
          <w:vertAlign w:val="superscript"/>
          <w:lang w:val="kk-KZ"/>
        </w:rPr>
        <w:t>3</w:t>
      </w:r>
      <w:r w:rsidRPr="00DC78D2">
        <w:rPr>
          <w:rFonts w:ascii="Times New Roman" w:hAnsi="Times New Roman" w:cs="Times New Roman"/>
          <w:sz w:val="28"/>
          <w:szCs w:val="28"/>
          <w:lang w:val="kk-KZ"/>
        </w:rPr>
        <w:t>), оны өңдеу мен пайдалану орнына тасымалдаудың жоғары құнын ескере отырып, жергілікті тас материалдарды немесе оларды алмастырғыштарды — жергілікті өнеркәсіп кәсіпорындарының қалдықтарын жан-жақты іздестіру керек. Жолдар мен алаңдарды салу үшін материалдарды таңдау және одан кейін қолдану үшін олардың физикалық-механикалық қасиеттерін ескеру қажет.</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Тау жыныстарының беріктігі немесе механикалық әсерлерге қарсы тұру қабілеті (материалдар беріктіктің 5 сыныбына бөлінеді)):</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күшті және өте күшті жыныстар (1-ші және 2-ші кластар)-қозғалмаған немесе әлсіз қозғалмаған жел— кварциттер, граниттер, порфирлер, базальттар, мәрмәр-ровидті және тығыз әктастар мен доломиттер. Мұндай жыныстар жол жамылғысының барлық түрлеріне жарамды, олардың беріктілік шегі 100 МПа астам;</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орташа бекініс (3-ші сынып) —сол жыныстар, бірақ желден асып кеткен, сондай-ақ кремнийлі тақтатастар, әктас пен құмтастар біркелкі емес тығыздығы. Орташа бекіністің күрделі жыныстары қиыршықтас түрінде жол құрылысында кеңінен қолданылады. Беріктік шегі 60-80 МПа;</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жұмсақ (4-класс) —кеуек әктас, доломиты известняковые, темірлі, тонкопленчатые құмдақтар. Қатты жоғарғы жабындар үшін негіз салу кезінде қиыршықтас түрінде қолданылады. Беріктік шегі 30-40 МПа;</w:t>
      </w:r>
    </w:p>
    <w:p w:rsidR="009A2384" w:rsidRPr="00DC78D2" w:rsidRDefault="009A2384" w:rsidP="009A2384">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өте</w:t>
      </w:r>
      <w:r w:rsidR="006676DF">
        <w:rPr>
          <w:rFonts w:ascii="Times New Roman" w:hAnsi="Times New Roman" w:cs="Times New Roman"/>
          <w:sz w:val="28"/>
          <w:szCs w:val="28"/>
          <w:lang w:val="kk-KZ"/>
        </w:rPr>
        <w:t xml:space="preserve"> жұмсақ </w:t>
      </w:r>
      <w:r w:rsidRPr="00DC78D2">
        <w:rPr>
          <w:rFonts w:ascii="Times New Roman" w:hAnsi="Times New Roman" w:cs="Times New Roman"/>
          <w:sz w:val="28"/>
          <w:szCs w:val="28"/>
          <w:lang w:val="kk-KZ"/>
        </w:rPr>
        <w:t>(5-ші сынып) - желденген атқыланған жыныстар, ұнды, топырақты әктастар, әлсіз құмтас, сазды сланецтер; қиыршықтас негіздерін орнату үшін тұтқыр материалдармен ғана қолданылады. Беріктік шегі 80 МПа.</w:t>
      </w:r>
    </w:p>
    <w:p w:rsidR="009A2384" w:rsidRDefault="009A2384" w:rsidP="009A2384">
      <w:pPr>
        <w:rPr>
          <w:rFonts w:ascii="Times New Roman" w:hAnsi="Times New Roman" w:cs="Times New Roman"/>
          <w:sz w:val="28"/>
          <w:szCs w:val="28"/>
          <w:lang w:val="kk-KZ"/>
        </w:rPr>
      </w:pPr>
      <w:r w:rsidRPr="00DC78D2">
        <w:rPr>
          <w:rFonts w:ascii="Times New Roman" w:hAnsi="Times New Roman" w:cs="Times New Roman"/>
          <w:sz w:val="28"/>
          <w:szCs w:val="28"/>
          <w:lang w:val="kk-KZ"/>
        </w:rPr>
        <w:t>Көлемді масса-табиғи жағдайдағы материал көлемі бірлігінің салмағы. Салдың атқыланған жыныстардың көлемдік салмағы орташа 2,5 және одан жоғары, бұл массивтегі 1м</w:t>
      </w:r>
      <w:r w:rsidRPr="006676DF">
        <w:rPr>
          <w:rFonts w:ascii="Times New Roman" w:hAnsi="Times New Roman" w:cs="Times New Roman"/>
          <w:sz w:val="28"/>
          <w:szCs w:val="28"/>
          <w:vertAlign w:val="superscript"/>
          <w:lang w:val="kk-KZ"/>
        </w:rPr>
        <w:t>3</w:t>
      </w:r>
      <w:r w:rsidRPr="00DC78D2">
        <w:rPr>
          <w:rFonts w:ascii="Times New Roman" w:hAnsi="Times New Roman" w:cs="Times New Roman"/>
          <w:sz w:val="28"/>
          <w:szCs w:val="28"/>
          <w:lang w:val="kk-KZ"/>
        </w:rPr>
        <w:t xml:space="preserve"> жыныстың массасын білдіреді</w:t>
      </w:r>
      <w:r w:rsidR="006676DF">
        <w:rPr>
          <w:rFonts w:ascii="Times New Roman" w:hAnsi="Times New Roman" w:cs="Times New Roman"/>
          <w:sz w:val="28"/>
          <w:szCs w:val="28"/>
          <w:lang w:val="kk-KZ"/>
        </w:rPr>
        <w:t>.</w:t>
      </w:r>
    </w:p>
    <w:p w:rsidR="006676DF" w:rsidRDefault="006676DF" w:rsidP="009A2384">
      <w:pPr>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inline distT="0" distB="0" distL="0" distR="0">
            <wp:extent cx="5706110" cy="3811270"/>
            <wp:effectExtent l="0" t="0" r="8890" b="0"/>
            <wp:docPr id="1" name="Рисунок 1" descr="C:\Users\EAsangaliev\AppData\Local\Temp\Rar$DIa0.207\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Asangaliev\AppData\Local\Temp\Rar$DIa0.207\5,9.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06110" cy="3811270"/>
                    </a:xfrm>
                    <a:prstGeom prst="rect">
                      <a:avLst/>
                    </a:prstGeom>
                    <a:noFill/>
                    <a:ln>
                      <a:noFill/>
                    </a:ln>
                  </pic:spPr>
                </pic:pic>
              </a:graphicData>
            </a:graphic>
          </wp:inline>
        </w:drawing>
      </w:r>
      <w:bookmarkStart w:id="0" w:name="_GoBack"/>
      <w:bookmarkEnd w:id="0"/>
    </w:p>
    <w:p w:rsidR="006676DF" w:rsidRDefault="006676DF" w:rsidP="006676DF">
      <w:pPr>
        <w:spacing w:after="0" w:line="240" w:lineRule="auto"/>
        <w:rPr>
          <w:rFonts w:ascii="Times New Roman" w:hAnsi="Times New Roman" w:cs="Times New Roman"/>
          <w:sz w:val="28"/>
          <w:szCs w:val="28"/>
          <w:lang w:val="kk-KZ"/>
        </w:rPr>
      </w:pPr>
      <w:r w:rsidRPr="001A42FB">
        <w:rPr>
          <w:rFonts w:ascii="Times New Roman" w:hAnsi="Times New Roman" w:cs="Times New Roman"/>
          <w:sz w:val="28"/>
          <w:szCs w:val="28"/>
          <w:lang w:val="kk-KZ"/>
        </w:rPr>
        <w:t>Қолданылған әдебиет</w:t>
      </w:r>
      <w:r>
        <w:rPr>
          <w:rFonts w:ascii="Times New Roman" w:hAnsi="Times New Roman" w:cs="Times New Roman"/>
          <w:sz w:val="28"/>
          <w:szCs w:val="28"/>
          <w:lang w:val="kk-KZ"/>
        </w:rPr>
        <w:t>тер.</w:t>
      </w:r>
    </w:p>
    <w:p w:rsidR="006676DF" w:rsidRDefault="006676DF" w:rsidP="006676DF">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Садово-парковое строительство</w:t>
      </w:r>
      <w:r>
        <w:rPr>
          <w:b w:val="0"/>
          <w:bCs w:val="0"/>
          <w:sz w:val="28"/>
          <w:szCs w:val="28"/>
          <w:lang w:val="kk-KZ"/>
        </w:rPr>
        <w:t>,</w:t>
      </w:r>
      <w:r w:rsidRPr="00441231">
        <w:rPr>
          <w:rFonts w:ascii="Arial" w:hAnsi="Arial" w:cs="Arial"/>
          <w:color w:val="373A3C"/>
          <w:sz w:val="21"/>
          <w:szCs w:val="21"/>
          <w:shd w:val="clear" w:color="auto" w:fill="FFFFFF"/>
        </w:rPr>
        <w:t xml:space="preserve"> </w:t>
      </w:r>
      <w:r w:rsidRPr="00441231">
        <w:rPr>
          <w:b w:val="0"/>
          <w:sz w:val="28"/>
          <w:szCs w:val="28"/>
          <w:shd w:val="clear" w:color="auto" w:fill="FFFFFF"/>
        </w:rPr>
        <w:t>Учебник. - М.: МГУЛ, 2003. -336 с: ил</w:t>
      </w:r>
    </w:p>
    <w:p w:rsidR="006676DF" w:rsidRPr="00441231" w:rsidRDefault="006676DF" w:rsidP="006676DF">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w:t>
      </w:r>
      <w:r>
        <w:rPr>
          <w:b w:val="0"/>
          <w:bCs w:val="0"/>
          <w:sz w:val="28"/>
          <w:szCs w:val="28"/>
          <w:lang w:val="kk-KZ"/>
        </w:rPr>
        <w:t xml:space="preserve">, </w:t>
      </w:r>
      <w:r w:rsidRPr="00441231">
        <w:rPr>
          <w:b w:val="0"/>
          <w:bCs w:val="0"/>
          <w:color w:val="000000"/>
          <w:sz w:val="28"/>
          <w:szCs w:val="28"/>
        </w:rPr>
        <w:t>Садово-парковое и ландшафтное строительство</w:t>
      </w:r>
      <w:r>
        <w:rPr>
          <w:b w:val="0"/>
          <w:bCs w:val="0"/>
          <w:color w:val="000000"/>
          <w:sz w:val="28"/>
          <w:szCs w:val="28"/>
          <w:lang w:val="kk-KZ"/>
        </w:rPr>
        <w:t>,</w:t>
      </w:r>
      <w:r w:rsidRPr="00441231">
        <w:rPr>
          <w:rFonts w:ascii="Helvetica" w:hAnsi="Helvetica" w:cs="Helvetica"/>
          <w:color w:val="333333"/>
          <w:sz w:val="20"/>
          <w:szCs w:val="20"/>
          <w:shd w:val="clear" w:color="auto" w:fill="F6F6F6"/>
        </w:rPr>
        <w:t xml:space="preserve"> </w:t>
      </w:r>
      <w:r w:rsidRPr="00441231">
        <w:rPr>
          <w:b w:val="0"/>
          <w:sz w:val="28"/>
          <w:szCs w:val="28"/>
          <w:shd w:val="clear" w:color="auto" w:fill="F6F6F6"/>
        </w:rPr>
        <w:t>Учебно-методическое пособие. — 2-е изд. — М.</w:t>
      </w:r>
      <w:proofErr w:type="gramStart"/>
      <w:r w:rsidRPr="00441231">
        <w:rPr>
          <w:b w:val="0"/>
          <w:sz w:val="28"/>
          <w:szCs w:val="28"/>
          <w:shd w:val="clear" w:color="auto" w:fill="F6F6F6"/>
        </w:rPr>
        <w:t xml:space="preserve"> :</w:t>
      </w:r>
      <w:proofErr w:type="gramEnd"/>
      <w:r w:rsidRPr="00441231">
        <w:rPr>
          <w:b w:val="0"/>
          <w:sz w:val="28"/>
          <w:szCs w:val="28"/>
          <w:shd w:val="clear" w:color="auto" w:fill="F6F6F6"/>
        </w:rPr>
        <w:t xml:space="preserve"> ФГБОУ ВПО МГУЛ, 2012. — 42 с</w:t>
      </w:r>
    </w:p>
    <w:p w:rsidR="006676DF" w:rsidRPr="00792C2A" w:rsidRDefault="006676DF" w:rsidP="006676DF">
      <w:pPr>
        <w:rPr>
          <w:lang w:val="kk-KZ"/>
        </w:rPr>
      </w:pPr>
    </w:p>
    <w:p w:rsidR="006676DF" w:rsidRPr="009A2384" w:rsidRDefault="006676DF" w:rsidP="009A2384">
      <w:pPr>
        <w:rPr>
          <w:rFonts w:ascii="Times New Roman" w:hAnsi="Times New Roman" w:cs="Times New Roman"/>
          <w:sz w:val="28"/>
          <w:szCs w:val="28"/>
          <w:lang w:val="kk-KZ"/>
        </w:rPr>
      </w:pPr>
    </w:p>
    <w:sectPr w:rsidR="006676DF" w:rsidRPr="009A23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FA2A4F"/>
    <w:multiLevelType w:val="hybridMultilevel"/>
    <w:tmpl w:val="90EC2E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5A8F"/>
    <w:rsid w:val="00414794"/>
    <w:rsid w:val="006676DF"/>
    <w:rsid w:val="00975A8F"/>
    <w:rsid w:val="009A2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6676D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676DF"/>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6676D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676D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6676D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676DF"/>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6676D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676D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1051</Words>
  <Characters>5996</Characters>
  <Application>Microsoft Office Word</Application>
  <DocSecurity>0</DocSecurity>
  <Lines>49</Lines>
  <Paragraphs>14</Paragraphs>
  <ScaleCrop>false</ScaleCrop>
  <Company>SPecialiST RePack</Company>
  <LinksUpToDate>false</LinksUpToDate>
  <CharactersWithSpaces>7033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3</cp:revision>
  <dcterms:created xsi:type="dcterms:W3CDTF">2021-08-20T06:14:00Z</dcterms:created>
  <dcterms:modified xsi:type="dcterms:W3CDTF">2021-08-20T06:16:00Z</dcterms:modified>
</cp:coreProperties>
</file>