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F14" w:rsidRPr="00D55F14" w:rsidRDefault="00D55F14" w:rsidP="00D55F14">
      <w:pPr>
        <w:rPr>
          <w:lang w:val="kk-KZ"/>
        </w:rPr>
      </w:pPr>
    </w:p>
    <w:p w:rsidR="00D55F14" w:rsidRDefault="00F85BF2" w:rsidP="00D55F14">
      <w:pPr>
        <w:rPr>
          <w:lang w:val="kk-KZ"/>
        </w:rPr>
      </w:pPr>
      <w:r>
        <w:rPr>
          <w:b/>
          <w:lang w:val="kk-KZ"/>
        </w:rPr>
        <w:t>Лекция16 :</w:t>
      </w:r>
      <w:r w:rsidR="000E2152" w:rsidRPr="000E2152">
        <w:t xml:space="preserve"> </w:t>
      </w:r>
      <w:r w:rsidR="000E2152" w:rsidRPr="000E2152">
        <w:rPr>
          <w:b/>
          <w:lang w:val="kk-KZ"/>
        </w:rPr>
        <w:t xml:space="preserve">Сертификация систем качества в Республике Казахстан. </w:t>
      </w:r>
      <w:bookmarkStart w:id="0" w:name="_GoBack"/>
      <w:bookmarkEnd w:id="0"/>
      <w:r w:rsidR="00D55F14" w:rsidRPr="00D55F14">
        <w:rPr>
          <w:b/>
          <w:lang w:val="kk-KZ"/>
        </w:rPr>
        <w:t xml:space="preserve">Стандартизация систем управления качеством </w:t>
      </w:r>
      <w:r w:rsidR="00D55F14" w:rsidRPr="00D55F14">
        <w:rPr>
          <w:lang w:val="kk-KZ"/>
        </w:rPr>
        <w:t>(Международные  стандарты на системы обеспечения качества продукции. «Семейство» стандартов ИСО 9000. Принципиальные особенности системы обеспечения качеством. Модель «петли качества»)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Международная и региональная стандартизация (Международная организация по  стандартизации  (ИСО). Основные цели и задачи ИСО. Международный электротехнический комитет (МЭК). Международные организации, участвующие в стандартизации. Межгосударственный совет стран – участниц содружества независимых государств (МГС).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 xml:space="preserve">Международная организация по стандартизации (ИСО) организация по стандартизации, членство в которой открыто для соответствующего государственного органа по стандартизации, метрологии и сертификации каждой страны. 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ИСО создана в 1946 г. двадцатью пятью национальными организациями по стандартизации. Сфера деятельности ИСО касается стандартизации во всех областях, кроме электротехники и электроники, относящейся к компетенции Международной  электротехнической комиссии (МЭК). Некоторые виды работ выполняются совместными усилиями этих организаций.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ИСО определяет свои задачи следующим образом: содействие развитию стандартизации и смежных видов деятельности в мире с целью обеспечения международного обмена товарами и услугами, а также развитию сотрудничества в интеллектуальной, научно-технической областях.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ИСО состоит из руководящих и  рабочих технических органов. К руководящим органам относятся Генеральная ассамблея, являющаяся высшим органом, Совет, комитеты Совета, международный секретариат. Высшими руководящими лицами  ИСО является Президент организации, ее казначей и Генеральный секретарь.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 xml:space="preserve">Вся область деятельности ИСО разделена между техническими комитетами, которых насчитывается около 200. Каждый технический комитет (ТК) имеет утвержденную Советом ИСО сферу деятельности, Технические комитеты подразделяются на общетехнические и на комитеты, работающие в конкретных областях техники. 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Основным видом деятельности  ИСО является  разработка международных стандартов, поэтому главным структурным подразделением  Организации являются  технические комитеты, подкомитеты и рабочие группы, которых в общей сложности насчитывается около 2500.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 xml:space="preserve">Международная  электротехническая комиссия создана в 1906 году на международной конференции, в которой участвовали 13 стран, в </w:t>
      </w:r>
      <w:r w:rsidRPr="00E1281C">
        <w:rPr>
          <w:lang w:val="kk-KZ"/>
        </w:rPr>
        <w:lastRenderedPageBreak/>
        <w:t>наибольшей степени заинтересованных в такой организации.  Большинство стран-членов МЭК представлены в ней своими национальными организациями по стандартизации, в некоторых странах созданы специальные комитеты по участию в МЭК, не входящие в структуру национальных организаций  по стандартизации (Франция, Германия, Италия, Бельгия и др.). Основной целью МЭК, которая  определена ее Уставом, является  содействие  международному сотрудничеству по стандартизации и смежным с ней проблемам в области электротехники и радиотехники путем разработок международных стандартов и других документов.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Международные  стандарты МЭК можно разделить на два вида: общетехнические, носящие межотраслевой характер, и стандарты содержащие технические требования к конкретной продукции.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Стандартизация, сертификация и метрология в рамках СНГ осуществляется в соответствии с «Соглашением о проведении согласованной политики в области стандартизации метрологии и сертификации», которое является межправительственным и действует с 1992 г.  В соответствии с данным Соглашением были признаны: действующие ГОСТы в качестве межгосударственных стандартов; эталонная база бывшего СССР как совместное достояние; необходимость двухсторонних соглашений для взаимного признания систем стандартизации, сертификации и метрологии. На межправительственном уровне был создан Межгосударственный совет по стандартизации, метрологии и сертификации (МГС), в котором представлены все национальные организации по стандартизации стран-участниц СНГ. В 1995 году Совет ИСО признал МГС региональной организацией по стандартизации в странах СНГ. Членами МГС являются руководители национальных органов по стандартизации, метрологии и сертификации государств – участников Соглашения всех 12 государств Содружества.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Основными функциями МГС являются: выработка приоритетных направлений деятельности в области стандартизации; представление проектов межгосударственных стандартов на утверждение; рассмотрение и принятие основных направлений работ в области стандартизации и смет расходов на их проведение. Принимаемые советом решения обязательны для государств,  представители которых вошли в Совет.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К международным организациям, участвующим в международной стандартизации относятся: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–</w:t>
      </w:r>
      <w:r w:rsidRPr="00E1281C">
        <w:rPr>
          <w:lang w:val="kk-KZ"/>
        </w:rPr>
        <w:tab/>
        <w:t>Европейская  экономическая  комиссия  ООЕ (ЕЭК ООН);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–</w:t>
      </w:r>
      <w:r w:rsidRPr="00E1281C">
        <w:rPr>
          <w:lang w:val="kk-KZ"/>
        </w:rPr>
        <w:tab/>
        <w:t>Продовольственная и сельскохозяйственная организация ОНН (ФАО);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–</w:t>
      </w:r>
      <w:r w:rsidRPr="00E1281C">
        <w:rPr>
          <w:lang w:val="kk-KZ"/>
        </w:rPr>
        <w:tab/>
        <w:t>Всемирная организация здравоохранения (ВОЗ);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–</w:t>
      </w:r>
      <w:r w:rsidRPr="00E1281C">
        <w:rPr>
          <w:lang w:val="kk-KZ"/>
        </w:rPr>
        <w:tab/>
        <w:t>Комиссия «Кодекс Алиментариус» по разработке  стандартов на продовольственные товары.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lastRenderedPageBreak/>
        <w:t xml:space="preserve">К региональным общеевропейским организациям по стандартизации следует отнести: 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–</w:t>
      </w:r>
      <w:r w:rsidRPr="00E1281C">
        <w:rPr>
          <w:lang w:val="kk-KZ"/>
        </w:rPr>
        <w:tab/>
        <w:t xml:space="preserve">Европейский комитет по стандартизации (СЕН); </w:t>
      </w:r>
    </w:p>
    <w:p w:rsidR="00E1281C" w:rsidRPr="00E1281C" w:rsidRDefault="00E1281C" w:rsidP="00E1281C">
      <w:pPr>
        <w:rPr>
          <w:lang w:val="kk-KZ"/>
        </w:rPr>
      </w:pPr>
      <w:r w:rsidRPr="00E1281C">
        <w:rPr>
          <w:lang w:val="kk-KZ"/>
        </w:rPr>
        <w:t>–</w:t>
      </w:r>
      <w:r w:rsidRPr="00E1281C">
        <w:rPr>
          <w:lang w:val="kk-KZ"/>
        </w:rPr>
        <w:tab/>
        <w:t>Европейский комитет по стандартизации в электротехнике (СЕНЭЛЕК),</w:t>
      </w:r>
    </w:p>
    <w:p w:rsidR="00E1281C" w:rsidRDefault="00E1281C" w:rsidP="00E1281C">
      <w:pPr>
        <w:rPr>
          <w:lang w:val="kk-KZ"/>
        </w:rPr>
      </w:pPr>
      <w:r w:rsidRPr="00E1281C">
        <w:rPr>
          <w:lang w:val="kk-KZ"/>
        </w:rPr>
        <w:t>–</w:t>
      </w:r>
      <w:r w:rsidRPr="00E1281C">
        <w:rPr>
          <w:lang w:val="kk-KZ"/>
        </w:rPr>
        <w:tab/>
        <w:t>Европейский институт по стандартам в области электросвязи (ЕТСИ).</w:t>
      </w:r>
    </w:p>
    <w:p w:rsidR="00E1281C" w:rsidRPr="00D55F14" w:rsidRDefault="00E1281C" w:rsidP="00D55F14">
      <w:pPr>
        <w:rPr>
          <w:lang w:val="kk-KZ"/>
        </w:rPr>
      </w:pPr>
    </w:p>
    <w:p w:rsidR="00D55F14" w:rsidRPr="00D55F14" w:rsidRDefault="00E1281C" w:rsidP="00D55F14">
      <w:pPr>
        <w:rPr>
          <w:lang w:val="kk-KZ"/>
        </w:rPr>
      </w:pPr>
      <w:r>
        <w:rPr>
          <w:b/>
          <w:lang w:val="kk-KZ"/>
        </w:rPr>
        <w:t>Вопрос 2</w:t>
      </w:r>
      <w:r>
        <w:rPr>
          <w:lang w:val="kk-KZ"/>
        </w:rPr>
        <w:t xml:space="preserve"> Основные положения</w:t>
      </w:r>
      <w:r w:rsidR="00D55F14" w:rsidRPr="00D55F14">
        <w:rPr>
          <w:lang w:val="kk-KZ"/>
        </w:rPr>
        <w:t xml:space="preserve"> стандартов серии ИСО 9000 «Система менеджмента качества».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 xml:space="preserve">В соответствии с терминологией, приведенной в международном стандарте ИСО 9000:2000 под </w:t>
      </w:r>
      <w:r w:rsidRPr="00D55F14">
        <w:rPr>
          <w:b/>
          <w:lang w:val="kk-KZ"/>
        </w:rPr>
        <w:t xml:space="preserve">качеством </w:t>
      </w:r>
      <w:r w:rsidRPr="00D55F14">
        <w:rPr>
          <w:lang w:val="kk-KZ"/>
        </w:rPr>
        <w:t>понимается совокупность характеристик объекта, относящихся к его особенности удовлетворять установленные и предполагаемые потребности. Таким образом, под к</w:t>
      </w:r>
      <w:r w:rsidRPr="00D55F14">
        <w:rPr>
          <w:b/>
          <w:lang w:val="kk-KZ"/>
        </w:rPr>
        <w:t>ачеством</w:t>
      </w:r>
      <w:r w:rsidRPr="00D55F14">
        <w:rPr>
          <w:lang w:val="kk-KZ"/>
        </w:rPr>
        <w:t xml:space="preserve">  понимается совокупность объективно существующих свойств и характеристик, уровень которых обусловлен показателями, определяющими потребительскую стоимость продукции,  то есть  качество - это система  показателей объекта, разная для различных видов товаров, при чем сама система не является раз или навсегда данной, а веса критериев могут изменяться. 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Такой подход к определению качества ориентирует производителей на создание и изготовление продукции с таким сочетанием и уровнем свойств, которые позволяют удовлетворить определенные потребности как общества в целом, так и отдельных потребителей и служат предпосылкой для организации работ по повышению качества.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Качество продукции в значительной степени зависит от факторов или условий, которые определяют тот или иной уровень свойств продукции.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Такой подход к требованиям качества применим так же при осуществлении процесса (работы), услуги.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К факторам относятся: сырье, материалы, станки, машины, оборудование, инструменты, средства измерений. Сюда же относятся человеческие факторы, такие как профессиональные навыки и знания работников.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Под условиями, влияющими  на качество  продукции, понимаются  обстоятельства, в которых действуют перечисленные факторы. К числу условий, влияющих на уровень качества продукции, относятся формы организации труда и производственных процессов и другие обстоятельства.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 xml:space="preserve">Только взвешенное соотношение между факторами и условиями, влияющими на качество продукции,  позволяют обеспечить оптимальный  уровень качества этой продукции.      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 xml:space="preserve">Качество работы непосредственно связано с обеспечением функционирования фирмы. Деятельность по управлению качеством не </w:t>
      </w:r>
      <w:r w:rsidRPr="00D55F14">
        <w:rPr>
          <w:lang w:val="kk-KZ"/>
        </w:rPr>
        <w:lastRenderedPageBreak/>
        <w:t xml:space="preserve">может быть эффективной после того, как продукция произведена. Эта деятельность должна осуществляться в ходе производства.  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 xml:space="preserve">В соответствии с МС ИСО 9000:2000 </w:t>
      </w:r>
      <w:r w:rsidRPr="00D55F14">
        <w:rPr>
          <w:b/>
          <w:lang w:val="kk-KZ"/>
        </w:rPr>
        <w:t xml:space="preserve">менеджмент качества – </w:t>
      </w:r>
      <w:r w:rsidRPr="00D55F14">
        <w:rPr>
          <w:lang w:val="kk-KZ"/>
        </w:rPr>
        <w:t>это скоординированная деятельность по руководству и управлению организацией применительно к качеству.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 xml:space="preserve">Таким образом, система качества включает часть менеджмента организации, направленную на выполнение требований к качеству. 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 xml:space="preserve">Организационная структура системы управления качеством должна быть включена в общий процесс управления деятельностью фирмы. 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 xml:space="preserve">Система обеспечения качества продукции складывается из мер и действий, которые распространяются на все стадии жизненного цикла  продукции (рисунок 1)  и охватывает планирование  и систематическое обеспечение мероприятий, создающих такие условия для реализации целей и задач по качеству на всех этапах жизненного цикла продукции, чтобы качество продукции соответствовало заданным требованиям. </w:t>
      </w:r>
    </w:p>
    <w:p w:rsidR="00D55F14" w:rsidRDefault="00D55F14" w:rsidP="00D55F14"/>
    <w:p w:rsidR="00D55F14" w:rsidRDefault="00D55F14" w:rsidP="00D55F14"/>
    <w:p w:rsidR="00D55F14" w:rsidRDefault="00D55F14" w:rsidP="00D55F14"/>
    <w:p w:rsidR="00D55F14" w:rsidRPr="00D55F14" w:rsidRDefault="00D55F14" w:rsidP="00D55F14"/>
    <w:p w:rsidR="00D55F14" w:rsidRPr="00D55F14" w:rsidRDefault="00D55F14" w:rsidP="00D55F14"/>
    <w:tbl>
      <w:tblPr>
        <w:tblW w:w="989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91"/>
      </w:tblGrid>
      <w:tr w:rsidR="00D55F14" w:rsidRPr="00D55F14" w:rsidTr="004675B9">
        <w:tblPrEx>
          <w:tblCellMar>
            <w:top w:w="0" w:type="dxa"/>
            <w:bottom w:w="0" w:type="dxa"/>
          </w:tblCellMar>
        </w:tblPrEx>
        <w:trPr>
          <w:trHeight w:val="5099"/>
        </w:trPr>
        <w:tc>
          <w:tcPr>
            <w:tcW w:w="9891" w:type="dxa"/>
            <w:tcBorders>
              <w:top w:val="nil"/>
              <w:left w:val="nil"/>
              <w:bottom w:val="nil"/>
              <w:right w:val="nil"/>
            </w:tcBorders>
          </w:tcPr>
          <w:p w:rsidR="00D55F14" w:rsidRPr="00D55F14" w:rsidRDefault="00D55F14" w:rsidP="00D55F14">
            <w:pPr>
              <w:rPr>
                <w:lang w:val="kk-KZ"/>
              </w:rPr>
            </w:pPr>
            <w:r w:rsidRPr="00D55F14">
              <w:rPr>
                <w:lang w:val="kk-KZ"/>
              </w:rPr>
              <w:pict>
                <v:group id="_x0000_s1026" editas="radial" style="position:absolute;left:0;text-align:left;margin-left:87.3pt;margin-top:2.4pt;width:302.4pt;height:296.15pt;z-index:251659264" coordorigin="1989,-23" coordsize="8640,8460" o:allowincell="f">
                  <o:lock v:ext="edit" aspectratio="t"/>
                  <o:diagram v:ext="edit" dgmstyle="0" dgmscalex="50517" dgmscaley="50524" dgmfontsize="9" constrainbounds="2205,-23,10413,8185">
                    <o:relationtable v:ext="edit">
                      <o:rel v:ext="edit" idsrc="#_s1052" iddest="#_s1052"/>
                      <o:rel v:ext="edit" idsrc="#_s1051" iddest="#_s1052" idcntr="#_s1050"/>
                      <o:rel v:ext="edit" idsrc="#_s1049" iddest="#_s1052" idcntr="#_s1048"/>
                      <o:rel v:ext="edit" idsrc="#_s1047" iddest="#_s1052" idcntr="#_s1046"/>
                      <o:rel v:ext="edit" idsrc="#_s1045" iddest="#_s1052" idcntr="#_s1044"/>
                      <o:rel v:ext="edit" idsrc="#_s1043" iddest="#_s1052" idcntr="#_s1042"/>
                      <o:rel v:ext="edit" idsrc="#_s1041" iddest="#_s1052" idcntr="#_s1040"/>
                      <o:rel v:ext="edit" idsrc="#_s1039" iddest="#_s1052" idcntr="#_s1038"/>
                      <o:rel v:ext="edit" idsrc="#_s1037" iddest="#_s1052" idcntr="#_s1036"/>
                      <o:rel v:ext="edit" idsrc="#_s1035" iddest="#_s1052" idcntr="#_s1034"/>
                      <o:rel v:ext="edit" idsrc="#_s1033" iddest="#_s1052" idcntr="#_s1032"/>
                      <o:rel v:ext="edit" idsrc="#_s1031" iddest="#_s1052" idcntr="#_s1030"/>
                      <o:rel v:ext="edit" idsrc="#_s1029" iddest="#_s1052" idcntr="#_s1028"/>
                    </o:relationtable>
                  </o:diagram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7" type="#_x0000_t75" style="position:absolute;left:1989;top:-23;width:8640;height:8460" o:preferrelative="f" strokeweight="1.75pt">
                    <v:fill o:detectmouseclick="t"/>
                    <v:path o:extrusionok="t" o:connecttype="none"/>
                    <o:lock v:ext="edit" text="t"/>
                  </v:shape>
                  <v:line id="_s1028" o:spid="_x0000_s1028" style="position:absolute;flip:x y;v-text-anchor:middle" from="4925,1806" to="5978,3630" o:dgmnodekind="65535" strokeweight="1.75pt"/>
                  <v:oval id="_s1029" o:spid="_x0000_s1029" style="position:absolute;left:3924;top:565;width:1332;height:1332;v-text-anchor:middle" o:dgmnodekind="0" fillcolor="#bbe0e3" strokeweight="1.75pt">
                    <v:textbox style="mso-next-textbox:#_s1029" inset="1.92114mm,.96056mm,1.92114mm,.96056mm">
                      <w:txbxContent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sz w:val="22"/>
                            </w:rPr>
                          </w:pPr>
                        </w:p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sz w:val="23"/>
                            </w:rPr>
                          </w:pPr>
                          <w:r>
                            <w:rPr>
                              <w:b/>
                            </w:rPr>
                            <w:t>12</w:t>
                          </w:r>
                        </w:p>
                      </w:txbxContent>
                    </v:textbox>
                  </v:oval>
                  <v:line id="_s1030" o:spid="_x0000_s1030" style="position:absolute;flip:x y;v-text-anchor:middle" from="3911,2820" to="5735,3873" o:dgmnodekind="65535" strokeweight="1.75pt"/>
                  <v:oval id="_s1031" o:spid="_x0000_s1031" style="position:absolute;left:2667;top:1823;width:1332;height:1332;v-text-anchor:middle" o:dgmnodekind="0" fillcolor="#bbe0e3" strokeweight="1.75pt">
                    <v:textbox style="mso-next-textbox:#_s1031" inset="1.92114mm,.96056mm,1.92114mm,.96056mm">
                      <w:txbxContent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sz w:val="22"/>
                              <w:shd w:val="clear" w:color="auto" w:fill="FFFFFF"/>
                            </w:rPr>
                          </w:pPr>
                        </w:p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hd w:val="clear" w:color="auto" w:fill="FFFFFF"/>
                            </w:rPr>
                            <w:t>11</w:t>
                          </w:r>
                        </w:p>
                      </w:txbxContent>
                    </v:textbox>
                  </v:oval>
                  <v:line id="_s1032" o:spid="_x0000_s1032" style="position:absolute;flip:x;v-text-anchor:middle" from="3540,4205" to="5646,4205" o:dgmnodekind="65535" strokeweight="1.75pt"/>
                  <v:oval id="_s1033" o:spid="_x0000_s1033" style="position:absolute;left:2207;top:3541;width:1332;height:1332;v-text-anchor:middle" o:dgmnodekind="0" fillcolor="#bbe0e3" strokeweight="1.75pt">
                    <v:textbox style="mso-next-textbox:#_s1033" inset="1.92114mm,.96056mm,1.92114mm,.96056mm">
                      <w:txbxContent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sz w:val="22"/>
                            </w:rPr>
                          </w:pPr>
                        </w:p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10</w:t>
                          </w:r>
                        </w:p>
                      </w:txbxContent>
                    </v:textbox>
                  </v:oval>
                  <v:line id="_s1034" o:spid="_x0000_s1034" style="position:absolute;flip:x;v-text-anchor:middle" from="3911,4537" to="5735,5590" o:dgmnodekind="65535" strokeweight="1.75pt"/>
                  <v:oval id="_s1035" o:spid="_x0000_s1035" style="position:absolute;left:2668;top:5259;width:1332;height:1332;v-text-anchor:middle" o:dgmnodekind="0" fillcolor="#bbe0e3" strokeweight="1.75pt">
                    <v:textbox style="mso-next-textbox:#_s1035" inset="1.92114mm,.96056mm,1.92114mm,.96056mm">
                      <w:txbxContent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sz w:val="22"/>
                            </w:rPr>
                          </w:pPr>
                        </w:p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9</w:t>
                          </w:r>
                        </w:p>
                      </w:txbxContent>
                    </v:textbox>
                  </v:oval>
                  <v:line id="_s1036" o:spid="_x0000_s1036" style="position:absolute;flip:x;v-text-anchor:middle" from="4925,4780" to="5978,6604" o:dgmnodekind="65535" strokeweight="1.75pt"/>
                  <v:oval id="_s1037" o:spid="_x0000_s1037" style="position:absolute;left:3926;top:6517;width:1332;height:1332;v-text-anchor:middle" o:dgmnodekind="0" fillcolor="#bbe0e3" strokeweight="1.75pt">
                    <v:textbox style="mso-next-textbox:#_s1037" inset="1.92114mm,.96056mm,1.92114mm,.96056mm">
                      <w:txbxContent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sz w:val="22"/>
                            </w:rPr>
                          </w:pPr>
                        </w:p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8</w:t>
                          </w:r>
                        </w:p>
                      </w:txbxContent>
                    </v:textbox>
                  </v:oval>
                  <v:line id="_s1038" o:spid="_x0000_s1038" style="position:absolute;v-text-anchor:middle" from="6310,4869" to="6310,6975" o:dgmnodekind="65535" strokeweight="1.75pt"/>
                  <v:oval id="_s1039" o:spid="_x0000_s1039" style="position:absolute;left:5645;top:6977;width:1332;height:1332;v-text-anchor:middle" o:dgmnodekind="0" fillcolor="#bbe0e3" strokeweight="1.75pt">
                    <v:textbox style="mso-next-textbox:#_s1039" inset="1.92114mm,.96056mm,1.92114mm,.96056mm">
                      <w:txbxContent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sz w:val="22"/>
                              <w:shd w:val="clear" w:color="auto" w:fill="FFFFFF"/>
                            </w:rPr>
                          </w:pPr>
                        </w:p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b/>
                              <w:shd w:val="clear" w:color="auto" w:fill="FFFFFF"/>
                            </w:rPr>
                          </w:pPr>
                          <w:r>
                            <w:rPr>
                              <w:b/>
                              <w:shd w:val="clear" w:color="auto" w:fill="FFFFFF"/>
                            </w:rPr>
                            <w:t>7</w:t>
                          </w:r>
                        </w:p>
                      </w:txbxContent>
                    </v:textbox>
                  </v:oval>
                  <v:line id="_s1040" o:spid="_x0000_s1040" style="position:absolute;v-text-anchor:middle" from="6642,4780" to="7695,6604" o:dgmnodekind="65535" strokeweight="1.75pt"/>
                  <v:oval id="_s1041" o:spid="_x0000_s1041" style="position:absolute;left:7363;top:6516;width:1332;height:1332;v-text-anchor:middle" o:dgmnodekind="0" fillcolor="#bbe0e3" strokeweight="1.75pt">
                    <v:textbox style="mso-next-textbox:#_s1041" inset="1.92114mm,.96056mm,1.92114mm,.96056mm">
                      <w:txbxContent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sz w:val="22"/>
                            </w:rPr>
                          </w:pPr>
                        </w:p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6</w:t>
                          </w:r>
                        </w:p>
                      </w:txbxContent>
                    </v:textbox>
                  </v:oval>
                  <v:line id="_s1042" o:spid="_x0000_s1042" style="position:absolute;v-text-anchor:middle" from="6885,4537" to="8709,5590" o:dgmnodekind="65535" strokeweight="1.75pt"/>
                  <v:oval id="_s1043" o:spid="_x0000_s1043" style="position:absolute;left:8621;top:5258;width:1332;height:1332;v-text-anchor:middle" o:dgmnodekind="0" fillcolor="#bbe0e3" strokeweight="1.75pt">
                    <v:textbox style="mso-next-textbox:#_s1043" inset="1.92114mm,.96056mm,1.92114mm,.96056mm">
                      <w:txbxContent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sz w:val="22"/>
                              <w:shd w:val="clear" w:color="auto" w:fill="FFFFFF"/>
                            </w:rPr>
                          </w:pPr>
                        </w:p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hd w:val="clear" w:color="auto" w:fill="FFFFFF"/>
                            </w:rPr>
                            <w:t>5</w:t>
                          </w:r>
                        </w:p>
                      </w:txbxContent>
                    </v:textbox>
                  </v:oval>
                  <v:line id="_s1044" o:spid="_x0000_s1044" style="position:absolute;v-text-anchor:middle" from="6974,4205" to="9080,4205" o:dgmnodekind="65535" strokeweight="1.75pt"/>
                  <v:oval id="_s1045" o:spid="_x0000_s1045" style="position:absolute;left:9081;top:3539;width:1332;height:1332;v-text-anchor:middle" o:dgmnodekind="0" fillcolor="#bbe0e3" strokeweight="1.75pt">
                    <v:textbox style="mso-next-textbox:#_s1045" inset="1.92114mm,.96056mm,1.92114mm,.96056mm">
                      <w:txbxContent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sz w:val="14"/>
                            </w:rPr>
                          </w:pPr>
                        </w:p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4</w:t>
                          </w:r>
                        </w:p>
                      </w:txbxContent>
                    </v:textbox>
                  </v:oval>
                  <v:line id="_s1046" o:spid="_x0000_s1046" style="position:absolute;flip:y;v-text-anchor:middle" from="6885,2820" to="8709,3873" o:dgmnodekind="65535" strokeweight="1.75pt"/>
                  <v:oval id="_s1047" o:spid="_x0000_s1047" style="position:absolute;left:8620;top:1821;width:1332;height:1332;v-text-anchor:middle" o:dgmnodekind="0" fillcolor="#bbe0e3" strokeweight="1.75pt">
                    <v:textbox style="mso-next-textbox:#_s1047" inset="1.92114mm,.96056mm,1.92114mm,.96056mm">
                      <w:txbxContent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sz w:val="14"/>
                            </w:rPr>
                          </w:pPr>
                        </w:p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3</w:t>
                          </w:r>
                        </w:p>
                      </w:txbxContent>
                    </v:textbox>
                  </v:oval>
                  <v:line id="_s1048" o:spid="_x0000_s1048" style="position:absolute;flip:y;v-text-anchor:middle" from="6642,1806" to="7695,3630" o:dgmnodekind="65535" strokeweight="1.75pt"/>
                  <v:oval id="_s1049" o:spid="_x0000_s1049" style="position:absolute;left:7362;top:563;width:1332;height:1332;v-text-anchor:middle" o:dgmnodekind="0" fillcolor="#bbe0e3" strokeweight="1.75pt">
                    <v:textbox style="mso-next-textbox:#_s1049" inset="1.92114mm,.96056mm,1.92114mm,.96056mm">
                      <w:txbxContent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sz w:val="14"/>
                            </w:rPr>
                          </w:pPr>
                        </w:p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2</w:t>
                          </w:r>
                        </w:p>
                      </w:txbxContent>
                    </v:textbox>
                  </v:oval>
                  <v:line id="_s1050" o:spid="_x0000_s1050" style="position:absolute;flip:y;v-text-anchor:middle" from="6309,1435" to="6309,3541" o:dgmnodekind="65535" strokeweight="1.75pt"/>
                  <v:oval id="_s1051" o:spid="_x0000_s1051" style="position:absolute;left:5643;top:103;width:1332;height:1332;v-text-anchor:middle" o:dgmnodekind="0" fillcolor="#bbe0e3" strokeweight="1.75pt">
                    <v:textbox style="mso-next-textbox:#_s1051" inset="1.92114mm,.96056mm,1.92114mm,.96056mm">
                      <w:txbxContent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sz w:val="14"/>
                            </w:rPr>
                          </w:pPr>
                        </w:p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11111</w:t>
                          </w:r>
                        </w:p>
                        <w:p w:rsidR="00D55F14" w:rsidRDefault="00D55F14" w:rsidP="00D55F14">
                          <w:pPr>
                            <w:shd w:val="clear" w:color="auto" w:fill="FFFFFF"/>
                            <w:rPr>
                              <w:sz w:val="14"/>
                            </w:rPr>
                          </w:pPr>
                        </w:p>
                      </w:txbxContent>
                    </v:textbox>
                  </v:oval>
                  <v:oval id="_s1052" o:spid="_x0000_s1052" style="position:absolute;left:5643;top:3541;width:1332;height:1332;v-text-anchor:middle" o:dgmnodekind="0" fillcolor="#bbe0e3" strokeweight="1.75pt">
                    <v:textbox style="mso-next-textbox:#_s1052" inset="1.92114mm,.96056mm,1.92114mm,.96056mm">
                      <w:txbxContent>
                        <w:p w:rsidR="00D55F14" w:rsidRDefault="00D55F14" w:rsidP="00D55F14">
                          <w:pPr>
                            <w:shd w:val="clear" w:color="auto" w:fill="FFFFFF"/>
                          </w:pPr>
                          <w:r>
                            <w:t>00</w:t>
                          </w:r>
                        </w:p>
                        <w:p w:rsidR="00D55F14" w:rsidRDefault="00D55F14" w:rsidP="00D55F14">
                          <w:pPr>
                            <w:shd w:val="clear" w:color="auto" w:fill="FFFFFF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0</w:t>
                          </w:r>
                        </w:p>
                      </w:txbxContent>
                    </v:textbox>
                  </v:oval>
                  <v:shapetype id="_x0000_t99" coordsize="21600,21600" o:spt="99" adj="-11796480,,5400" path="al10800,10800@8@8@4@6,10800,10800,10800,10800@9@7l@30@31@17@18@24@25@15@16@32@33xe">
                    <v:stroke joinstyle="miter"/>
                    <v:formulas>
                      <v:f eqn="val #1"/>
                      <v:f eqn="val #0"/>
                      <v:f eqn="sum #1 0 #0"/>
                      <v:f eqn="val 10800"/>
                      <v:f eqn="sum 0 0 #1"/>
                      <v:f eqn="sumangle @2 360 0"/>
                      <v:f eqn="if @2 @2 @5"/>
                      <v:f eqn="sum 0 0 @6"/>
                      <v:f eqn="val #2"/>
                      <v:f eqn="sum 0 0 #0"/>
                      <v:f eqn="sum #2 0 2700"/>
                      <v:f eqn="cos @10 #1"/>
                      <v:f eqn="sin @10 #1"/>
                      <v:f eqn="cos 13500 #1"/>
                      <v:f eqn="sin 13500 #1"/>
                      <v:f eqn="sum @11 10800 0"/>
                      <v:f eqn="sum @12 10800 0"/>
                      <v:f eqn="sum @13 10800 0"/>
                      <v:f eqn="sum @14 10800 0"/>
                      <v:f eqn="prod #2 1 2"/>
                      <v:f eqn="sum @19 5400 0"/>
                      <v:f eqn="cos @20 #1"/>
                      <v:f eqn="sin @20 #1"/>
                      <v:f eqn="sum @21 10800 0"/>
                      <v:f eqn="sum @12 @23 @22"/>
                      <v:f eqn="sum @22 @23 @11"/>
                      <v:f eqn="cos 10800 #1"/>
                      <v:f eqn="sin 10800 #1"/>
                      <v:f eqn="cos #2 #1"/>
                      <v:f eqn="sin #2 #1"/>
                      <v:f eqn="sum @26 10800 0"/>
                      <v:f eqn="sum @27 10800 0"/>
                      <v:f eqn="sum @28 10800 0"/>
                      <v:f eqn="sum @29 10800 0"/>
                      <v:f eqn="sum @19 5400 0"/>
                      <v:f eqn="cos @34 #0"/>
                      <v:f eqn="sin @34 #0"/>
                      <v:f eqn="mid #0 #1"/>
                      <v:f eqn="sumangle @37 180 0"/>
                      <v:f eqn="if @2 @37 @38"/>
                      <v:f eqn="cos 10800 @39"/>
                      <v:f eqn="sin 10800 @39"/>
                      <v:f eqn="cos #2 @39"/>
                      <v:f eqn="sin #2 @39"/>
                      <v:f eqn="sum @40 10800 0"/>
                      <v:f eqn="sum @41 10800 0"/>
                      <v:f eqn="sum @42 10800 0"/>
                      <v:f eqn="sum @43 10800 0"/>
                      <v:f eqn="sum @35 10800 0"/>
                      <v:f eqn="sum @36 10800 0"/>
                    </v:formulas>
                    <v:path o:connecttype="custom" o:connectlocs="@44,@45;@48,@49;@46,@47;@17,@18;@24,@25;@15,@16" textboxrect="3163,3163,18437,18437"/>
                    <v:handles>
                      <v:h position="@3,#0" polar="10800,10800"/>
                      <v:h position="#2,#1" polar="10800,10800" radiusrange="0,10800"/>
                    </v:handles>
                  </v:shapetype>
                  <v:shape id="_x0000_s1053" type="#_x0000_t99" style="position:absolute;left:4689;top:2461;width:3420;height:3240" adj="-5861467,-9926308,8540" strokeweight="1.75pt"/>
                </v:group>
              </w:pict>
            </w: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  <w:p w:rsidR="00D55F14" w:rsidRPr="00D55F14" w:rsidRDefault="00D55F14" w:rsidP="00D55F14">
            <w:pPr>
              <w:rPr>
                <w:lang w:val="kk-KZ"/>
              </w:rPr>
            </w:pPr>
          </w:p>
        </w:tc>
      </w:tr>
      <w:tr w:rsidR="00D55F14" w:rsidRPr="00D55F14" w:rsidTr="004675B9">
        <w:tblPrEx>
          <w:tblCellMar>
            <w:top w:w="0" w:type="dxa"/>
            <w:bottom w:w="0" w:type="dxa"/>
          </w:tblCellMar>
        </w:tblPrEx>
        <w:trPr>
          <w:trHeight w:val="145"/>
        </w:trPr>
        <w:tc>
          <w:tcPr>
            <w:tcW w:w="9891" w:type="dxa"/>
            <w:tcBorders>
              <w:top w:val="nil"/>
              <w:left w:val="nil"/>
              <w:bottom w:val="nil"/>
              <w:right w:val="nil"/>
            </w:tcBorders>
          </w:tcPr>
          <w:p w:rsidR="00D55F14" w:rsidRPr="00D55F14" w:rsidRDefault="00D55F14" w:rsidP="00D55F14">
            <w:pPr>
              <w:numPr>
                <w:ilvl w:val="0"/>
                <w:numId w:val="1"/>
              </w:numPr>
              <w:rPr>
                <w:lang w:val="kk-KZ"/>
              </w:rPr>
            </w:pPr>
            <w:r w:rsidRPr="00D55F14">
              <w:rPr>
                <w:lang w:val="kk-KZ"/>
              </w:rPr>
              <w:t>Этапы жизненного цикла продукции</w:t>
            </w:r>
          </w:p>
          <w:p w:rsidR="00D55F14" w:rsidRPr="00D55F14" w:rsidRDefault="00D55F14" w:rsidP="00D55F14">
            <w:pPr>
              <w:numPr>
                <w:ilvl w:val="0"/>
                <w:numId w:val="1"/>
              </w:numPr>
              <w:rPr>
                <w:lang w:val="kk-KZ"/>
              </w:rPr>
            </w:pPr>
            <w:r w:rsidRPr="00D55F14">
              <w:rPr>
                <w:lang w:val="kk-KZ"/>
              </w:rPr>
              <w:t>Маркетинг и изучение рынка</w:t>
            </w:r>
          </w:p>
          <w:p w:rsidR="00D55F14" w:rsidRPr="00D55F14" w:rsidRDefault="00D55F14" w:rsidP="00D55F14">
            <w:pPr>
              <w:numPr>
                <w:ilvl w:val="0"/>
                <w:numId w:val="1"/>
              </w:numPr>
              <w:rPr>
                <w:lang w:val="kk-KZ"/>
              </w:rPr>
            </w:pPr>
            <w:r w:rsidRPr="00D55F14">
              <w:rPr>
                <w:lang w:val="kk-KZ"/>
              </w:rPr>
              <w:t>Проектирование и разработка продукции</w:t>
            </w:r>
          </w:p>
          <w:p w:rsidR="00D55F14" w:rsidRPr="00D55F14" w:rsidRDefault="00D55F14" w:rsidP="00D55F14">
            <w:pPr>
              <w:numPr>
                <w:ilvl w:val="0"/>
                <w:numId w:val="1"/>
              </w:numPr>
              <w:rPr>
                <w:lang w:val="kk-KZ"/>
              </w:rPr>
            </w:pPr>
            <w:r w:rsidRPr="00D55F14">
              <w:rPr>
                <w:lang w:val="kk-KZ"/>
              </w:rPr>
              <w:lastRenderedPageBreak/>
              <w:t xml:space="preserve">Планирование и разработка процессов </w:t>
            </w:r>
          </w:p>
          <w:p w:rsidR="00D55F14" w:rsidRPr="00D55F14" w:rsidRDefault="00D55F14" w:rsidP="00D55F14">
            <w:pPr>
              <w:numPr>
                <w:ilvl w:val="0"/>
                <w:numId w:val="1"/>
              </w:numPr>
              <w:rPr>
                <w:lang w:val="kk-KZ"/>
              </w:rPr>
            </w:pPr>
            <w:r w:rsidRPr="00D55F14">
              <w:rPr>
                <w:lang w:val="kk-KZ"/>
              </w:rPr>
              <w:t>Снабжение</w:t>
            </w:r>
          </w:p>
          <w:p w:rsidR="00D55F14" w:rsidRPr="00D55F14" w:rsidRDefault="00D55F14" w:rsidP="00D55F14">
            <w:pPr>
              <w:numPr>
                <w:ilvl w:val="0"/>
                <w:numId w:val="1"/>
              </w:numPr>
              <w:rPr>
                <w:lang w:val="kk-KZ"/>
              </w:rPr>
            </w:pPr>
            <w:r w:rsidRPr="00D55F14">
              <w:rPr>
                <w:lang w:val="kk-KZ"/>
              </w:rPr>
              <w:t>Производство и предоставление услуг</w:t>
            </w:r>
          </w:p>
          <w:p w:rsidR="00D55F14" w:rsidRPr="00D55F14" w:rsidRDefault="00D55F14" w:rsidP="00D55F14">
            <w:pPr>
              <w:numPr>
                <w:ilvl w:val="0"/>
                <w:numId w:val="1"/>
              </w:numPr>
              <w:rPr>
                <w:lang w:val="kk-KZ"/>
              </w:rPr>
            </w:pPr>
            <w:r w:rsidRPr="00D55F14">
              <w:rPr>
                <w:lang w:val="kk-KZ"/>
              </w:rPr>
              <w:t>Контроль, проведение испытаний и обследований</w:t>
            </w:r>
          </w:p>
          <w:p w:rsidR="00D55F14" w:rsidRPr="00D55F14" w:rsidRDefault="00D55F14" w:rsidP="00D55F14">
            <w:pPr>
              <w:numPr>
                <w:ilvl w:val="0"/>
                <w:numId w:val="1"/>
              </w:numPr>
              <w:rPr>
                <w:lang w:val="kk-KZ"/>
              </w:rPr>
            </w:pPr>
            <w:r w:rsidRPr="00D55F14">
              <w:rPr>
                <w:lang w:val="kk-KZ"/>
              </w:rPr>
              <w:t>Упаковка и хранение</w:t>
            </w:r>
          </w:p>
          <w:p w:rsidR="00D55F14" w:rsidRPr="00D55F14" w:rsidRDefault="00D55F14" w:rsidP="00D55F14">
            <w:pPr>
              <w:numPr>
                <w:ilvl w:val="0"/>
                <w:numId w:val="1"/>
              </w:numPr>
              <w:rPr>
                <w:lang w:val="kk-KZ"/>
              </w:rPr>
            </w:pPr>
            <w:r w:rsidRPr="00D55F14">
              <w:rPr>
                <w:lang w:val="kk-KZ"/>
              </w:rPr>
              <w:t>Продажа и доставка</w:t>
            </w:r>
          </w:p>
          <w:p w:rsidR="00D55F14" w:rsidRPr="00D55F14" w:rsidRDefault="00D55F14" w:rsidP="00D55F14">
            <w:pPr>
              <w:numPr>
                <w:ilvl w:val="0"/>
                <w:numId w:val="1"/>
              </w:numPr>
              <w:rPr>
                <w:lang w:val="kk-KZ"/>
              </w:rPr>
            </w:pPr>
            <w:r w:rsidRPr="00D55F14">
              <w:rPr>
                <w:lang w:val="kk-KZ"/>
              </w:rPr>
              <w:t>Монтаж и эксплуатация</w:t>
            </w:r>
          </w:p>
          <w:p w:rsidR="00D55F14" w:rsidRPr="00D55F14" w:rsidRDefault="00D55F14" w:rsidP="00D55F14">
            <w:pPr>
              <w:numPr>
                <w:ilvl w:val="0"/>
                <w:numId w:val="1"/>
              </w:numPr>
              <w:rPr>
                <w:lang w:val="kk-KZ"/>
              </w:rPr>
            </w:pPr>
            <w:r w:rsidRPr="00D55F14">
              <w:rPr>
                <w:lang w:val="kk-KZ"/>
              </w:rPr>
              <w:t>Техническая помощь и обслуживание</w:t>
            </w:r>
          </w:p>
          <w:p w:rsidR="00D55F14" w:rsidRPr="00D55F14" w:rsidRDefault="00D55F14" w:rsidP="00D55F14">
            <w:pPr>
              <w:numPr>
                <w:ilvl w:val="0"/>
                <w:numId w:val="1"/>
              </w:numPr>
              <w:rPr>
                <w:lang w:val="kk-KZ"/>
              </w:rPr>
            </w:pPr>
            <w:r w:rsidRPr="00D55F14">
              <w:rPr>
                <w:lang w:val="kk-KZ"/>
              </w:rPr>
              <w:t>Послепродажная деятельность</w:t>
            </w:r>
          </w:p>
          <w:p w:rsidR="00D55F14" w:rsidRPr="00D55F14" w:rsidRDefault="00D55F14" w:rsidP="00D55F14">
            <w:pPr>
              <w:numPr>
                <w:ilvl w:val="0"/>
                <w:numId w:val="1"/>
              </w:numPr>
              <w:rPr>
                <w:lang w:val="kk-KZ"/>
              </w:rPr>
            </w:pPr>
            <w:r w:rsidRPr="00D55F14">
              <w:rPr>
                <w:lang w:val="kk-KZ"/>
              </w:rPr>
              <w:t>Утилизация или переработка в конце срока службы</w:t>
            </w:r>
          </w:p>
          <w:p w:rsidR="00D55F14" w:rsidRPr="00D55F14" w:rsidRDefault="00D55F14" w:rsidP="00D55F14">
            <w:pPr>
              <w:rPr>
                <w:lang w:val="kk-KZ"/>
              </w:rPr>
            </w:pPr>
            <w:r w:rsidRPr="00D55F14">
              <w:rPr>
                <w:lang w:val="kk-KZ"/>
              </w:rPr>
              <w:t>Рисунок 1.  Спираль качества</w:t>
            </w:r>
          </w:p>
        </w:tc>
      </w:tr>
    </w:tbl>
    <w:p w:rsidR="00D55F14" w:rsidRPr="00D55F14" w:rsidRDefault="00D55F14" w:rsidP="00D55F14"/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Главная целевая установка системы качества, построенной на основе стандартов МС ИСО 9000, - это обеспечение качества продукции, требуемого заказчиком, и представление ему доказательство в способности предприятия сделать это. Внешним признаком того, имеется ли на предприятии системы менеджмента качества в соответствии с МС ИСО 9000, является сертификат на систему качества.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 xml:space="preserve">Международные стандарты ИСО серии 9000 своего рода методическая инструкция о том, какая должна быть система качества, а как это делать должно решать руководство предприятия. 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Семейство стандартов ИСО 9000 направленно на  обеспечение управления качеством продукции, процессов и услуг.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 xml:space="preserve">Семейство стандартов ИСО 9000 ведет свою историю с 1987 года, когда Международная Организация по Стандартизации (International Organization for Standardization или ISO) утвердила первую версию универсальных стандартов сертификации систем качества: ИСО 9000 /87. За основу при разработке стандартов ИСО 9000 были приняты стандарты, использовавшиеся министерством обороны США для оценки систем обеспечения качества поставщиков оборонной продукции. </w:t>
      </w:r>
    </w:p>
    <w:p w:rsidR="00D55F14" w:rsidRPr="00D55F14" w:rsidRDefault="00D55F14" w:rsidP="00D55F14">
      <w:r w:rsidRPr="00D55F14">
        <w:t xml:space="preserve">Ежегодно в мире стремительно увеличивается число предприятий, которые успешно осуществляют сертификацию своих систем качества на соответствие стандартам ИСО серии 9000. Этому способствуют внутренние причины, ускоряющие внедрение и сертификацию данных систем. К их числу можно отнести необходимость улучшения качества выполняемых работ, продукции и минимизацию издержек производства.  Внешними причинами, оказывающими давление на этот процесс,  являются требования заказчика и необходимость повышения конкурентоспособности выпускаемой продукции. </w:t>
      </w:r>
    </w:p>
    <w:p w:rsidR="00D55F14" w:rsidRPr="00D55F14" w:rsidRDefault="00D55F14" w:rsidP="00D55F14">
      <w:r w:rsidRPr="00D55F14">
        <w:rPr>
          <w:lang w:val="kk-KZ"/>
        </w:rPr>
        <w:t>В настоящее время все развитые страны мира проблему качества продукции рассматривают как проблему, от которой зависит престиж страны, ее мощь, успешное развитие национальной экономики.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lastRenderedPageBreak/>
        <w:t>Следует отметить, что международные стандарты семейства ИСО 9000 описывают элементы, которые должна включать система качества, а не способы внедрения конкретной организации этих элементов. Эти стандарты не навязывают единообразие систем качества, поскольку система управления организации зависит от задач организации, вида производимой ею продукции и присущего ей конкретного практического опыта, и система качества одного предприятия неминуемо будет отличаться от системы качества другого предприятия. Эти стандарты описывают лишь минимальные требования, которые необходимо выполнить предприятию с точки зрения доказательства производителем своей способности к качеству при поставках. Выполнение требований стандарта – является не конечной целью работы предприятия по совершенствованию качества, а лишь хорошее начало такой работы.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Стандарты семейства ИСО 9000 задают лишь методологию функционирования системы качества, которая в свою очередь должна обеспечивать высокое качество продукции и услуг, производимых предприятием, иными словами - обеспечивать высокую степень удовлетворенности потребителей.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В ходе длительного эволюционного развития взаимосвязей и взаимоотношений между поставщиками и потребителями сформировалось общее понимание необходимости и важности системного решения проблем в области качества. Применение и сертификация системы качества рассматривается сегодня как необходимое условие успешной деятельности и развития организаций любых форм собственности, как наиболее надежная форма гарантии соответствия качества поставляемой продукции и услуг требованиям потребителей. Предприятиям, не сертифицировавшим свою систему качества, уже сегодня практически закрыт выход на европейский рынок и рынки передовых экономически развитых стран Азии и Америки.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 xml:space="preserve">В зарубежной практике сертификация систем качества охватила практически все виды человеческой деятельности, начиная от оказания простейших бытовых услуг, производства и реализации промышленной и продовольственной продукции до государственного управления. В США сертифицирована система качества Федерального агентства по управлению имуществом. Сертифицированы системы качества Центрального секретариата ИСО в Женеве, компьютерная система полиции Новой Зеландии, Королевский госпиталь в Австралии.  </w:t>
      </w:r>
    </w:p>
    <w:p w:rsidR="00D55F14" w:rsidRPr="00D55F14" w:rsidRDefault="00D55F14" w:rsidP="00D55F14"/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В основу  международных стандартов серии ИСО 9000, версии 2000 года заложены следующие восемь принципов [см. СТ РК ИСО 9001: 2001. Система менеджмента качества. Требования]:</w:t>
      </w:r>
    </w:p>
    <w:p w:rsidR="00D55F14" w:rsidRPr="00D55F14" w:rsidRDefault="00D55F14" w:rsidP="00D55F14">
      <w:pPr>
        <w:rPr>
          <w:b/>
          <w:bCs/>
        </w:rPr>
      </w:pPr>
    </w:p>
    <w:p w:rsidR="00D55F14" w:rsidRPr="00D55F14" w:rsidRDefault="00D55F14" w:rsidP="00D55F14">
      <w:pPr>
        <w:rPr>
          <w:b/>
          <w:bCs/>
          <w:lang w:val="kk-KZ"/>
        </w:rPr>
      </w:pPr>
      <w:r w:rsidRPr="00D55F14">
        <w:rPr>
          <w:b/>
          <w:bCs/>
          <w:lang w:val="kk-KZ"/>
        </w:rPr>
        <w:t>Принцип 1. Ориентация на потребителя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lastRenderedPageBreak/>
        <w:t xml:space="preserve">"Организация зависит от своих потребителей, и поэтому она должна понимать существующие и будущие требования потребителя, удовлетворять его запросы и стараться превзойти его ожидания" </w:t>
      </w:r>
    </w:p>
    <w:p w:rsidR="00D55F14" w:rsidRPr="00D55F14" w:rsidRDefault="00D55F14" w:rsidP="00D55F14">
      <w:pPr>
        <w:rPr>
          <w:b/>
          <w:bCs/>
          <w:lang w:val="kk-KZ"/>
        </w:rPr>
      </w:pPr>
      <w:r w:rsidRPr="00D55F14">
        <w:rPr>
          <w:b/>
          <w:bCs/>
          <w:lang w:val="kk-KZ"/>
        </w:rPr>
        <w:t>Принцип 2. Лидерство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"Лидеры устанавливают единство цели и направления деятельности организации. Они должны создать и поддержать внутреннюю среду, в которой весь персонал сможет участвовать в достижении целей организации".</w:t>
      </w:r>
    </w:p>
    <w:p w:rsidR="00D55F14" w:rsidRPr="00D55F14" w:rsidRDefault="00D55F14" w:rsidP="00D55F14">
      <w:pPr>
        <w:rPr>
          <w:b/>
          <w:bCs/>
          <w:lang w:val="kk-KZ"/>
        </w:rPr>
      </w:pPr>
      <w:r w:rsidRPr="00D55F14">
        <w:rPr>
          <w:b/>
          <w:bCs/>
          <w:lang w:val="kk-KZ"/>
        </w:rPr>
        <w:t>Принцип 3. Вовлечение персонала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"Персонал всех уровней является существенным для организации, полное вовлечение сотрудников позволяет использовать их способности на благо организации".</w:t>
      </w:r>
    </w:p>
    <w:p w:rsidR="00D55F14" w:rsidRPr="00D55F14" w:rsidRDefault="00D55F14" w:rsidP="00D55F14">
      <w:pPr>
        <w:rPr>
          <w:b/>
          <w:bCs/>
          <w:lang w:val="kk-KZ"/>
        </w:rPr>
      </w:pPr>
      <w:r w:rsidRPr="00D55F14">
        <w:rPr>
          <w:b/>
          <w:bCs/>
          <w:lang w:val="kk-KZ"/>
        </w:rPr>
        <w:t>Принцип 4. Подход, основанный на процессах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"Желаемый результат достигается более эффективно, если взаимосвязанными ресурсами и действиями управляют как процессом".</w:t>
      </w:r>
    </w:p>
    <w:p w:rsidR="00D55F14" w:rsidRPr="00D55F14" w:rsidRDefault="00D55F14" w:rsidP="00D55F14">
      <w:pPr>
        <w:rPr>
          <w:b/>
          <w:bCs/>
          <w:lang w:val="kk-KZ"/>
        </w:rPr>
      </w:pPr>
      <w:r w:rsidRPr="00D55F14">
        <w:rPr>
          <w:b/>
          <w:bCs/>
          <w:lang w:val="kk-KZ"/>
        </w:rPr>
        <w:t>Принцип 5. Системный подход в управлении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"Определение, изучение и управление системой взаимосвязанных процессов с заданной целью улучшает эффективность организации".</w:t>
      </w:r>
    </w:p>
    <w:p w:rsidR="00D55F14" w:rsidRPr="00D55F14" w:rsidRDefault="00D55F14" w:rsidP="00D55F14">
      <w:pPr>
        <w:rPr>
          <w:b/>
          <w:bCs/>
          <w:lang w:val="kk-KZ"/>
        </w:rPr>
      </w:pPr>
      <w:r w:rsidRPr="00D55F14">
        <w:rPr>
          <w:b/>
          <w:bCs/>
          <w:lang w:val="kk-KZ"/>
        </w:rPr>
        <w:t>Принцип 6. Постоянное усовершенствование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"Постоянное усовершенствование должно быть постоянной целью организации".</w:t>
      </w:r>
    </w:p>
    <w:p w:rsidR="00D55F14" w:rsidRPr="00D55F14" w:rsidRDefault="00D55F14" w:rsidP="00D55F14">
      <w:pPr>
        <w:rPr>
          <w:b/>
          <w:bCs/>
          <w:lang w:val="kk-KZ"/>
        </w:rPr>
      </w:pPr>
      <w:r w:rsidRPr="00D55F14">
        <w:rPr>
          <w:b/>
          <w:bCs/>
          <w:lang w:val="kk-KZ"/>
        </w:rPr>
        <w:t>Принцип 7. Фактический подход в принятии решений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"Эффективные решения основываются на анализе данных и информации".</w:t>
      </w:r>
    </w:p>
    <w:p w:rsidR="00D55F14" w:rsidRPr="00D55F14" w:rsidRDefault="00D55F14" w:rsidP="00D55F14">
      <w:pPr>
        <w:rPr>
          <w:b/>
          <w:bCs/>
          <w:lang w:val="kk-KZ"/>
        </w:rPr>
      </w:pPr>
      <w:r w:rsidRPr="00D55F14">
        <w:rPr>
          <w:b/>
          <w:bCs/>
          <w:lang w:val="kk-KZ"/>
        </w:rPr>
        <w:t>Принцип 8. Взаимовыгодные отношения с поставщиками</w:t>
      </w:r>
    </w:p>
    <w:p w:rsidR="00D55F14" w:rsidRPr="00D55F14" w:rsidRDefault="00D55F14" w:rsidP="00D55F14">
      <w:pPr>
        <w:rPr>
          <w:lang w:val="kk-KZ"/>
        </w:rPr>
      </w:pPr>
      <w:r w:rsidRPr="00D55F14">
        <w:rPr>
          <w:lang w:val="kk-KZ"/>
        </w:rPr>
        <w:t>"Организация и ее поставщики - взаимозависимы, взаимовыгодные отношения расширяют возможности обоих сторон по созданию добавочной стоимости".</w:t>
      </w:r>
    </w:p>
    <w:p w:rsidR="00D55F14" w:rsidRPr="00D55F14" w:rsidRDefault="00D55F14" w:rsidP="00D55F14">
      <w:pPr>
        <w:rPr>
          <w:b/>
          <w:lang w:val="kk-KZ"/>
        </w:rPr>
      </w:pPr>
    </w:p>
    <w:p w:rsidR="000A0D77" w:rsidRPr="00D55F14" w:rsidRDefault="000A0D77">
      <w:pPr>
        <w:rPr>
          <w:lang w:val="kk-KZ"/>
        </w:rPr>
      </w:pPr>
    </w:p>
    <w:sectPr w:rsidR="000A0D77" w:rsidRPr="00D55F14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671D66"/>
    <w:multiLevelType w:val="singleLevel"/>
    <w:tmpl w:val="F978F6AC"/>
    <w:lvl w:ilvl="0"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F14"/>
    <w:rsid w:val="000A0D77"/>
    <w:rsid w:val="000E2152"/>
    <w:rsid w:val="00D55F14"/>
    <w:rsid w:val="00DF7E7C"/>
    <w:rsid w:val="00E1281C"/>
    <w:rsid w:val="00F8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5F1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5F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5F1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5F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2115</Words>
  <Characters>12060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2021-05-13T06:16:00Z</dcterms:created>
  <dcterms:modified xsi:type="dcterms:W3CDTF">2021-05-13T06:48:00Z</dcterms:modified>
</cp:coreProperties>
</file>