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623" w:rsidRPr="00F60623" w:rsidRDefault="00F60623" w:rsidP="00A0725C">
      <w:pPr>
        <w:jc w:val="center"/>
        <w:rPr>
          <w:rFonts w:ascii="Times New Roman" w:hAnsi="Times New Roman" w:cs="Times New Roman"/>
          <w:sz w:val="28"/>
          <w:szCs w:val="28"/>
        </w:rPr>
      </w:pPr>
      <w:r w:rsidRPr="00F60623">
        <w:rPr>
          <w:rFonts w:ascii="Times New Roman" w:hAnsi="Times New Roman" w:cs="Times New Roman"/>
          <w:sz w:val="28"/>
          <w:szCs w:val="28"/>
        </w:rPr>
        <w:t>Лекция № 5</w:t>
      </w: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CF78EF">
        <w:rPr>
          <w:rFonts w:ascii="Times New Roman" w:hAnsi="Times New Roman" w:cs="Times New Roman"/>
          <w:b/>
          <w:sz w:val="28"/>
          <w:szCs w:val="28"/>
        </w:rPr>
        <w:t>3.3 Классификация светильников</w:t>
      </w:r>
    </w:p>
    <w:p w:rsidR="00A0725C" w:rsidRPr="00CF78EF" w:rsidRDefault="00A0725C" w:rsidP="00A072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Классификация световых приборов осуществляется по главным и дополнительным признакам. 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К главным признакам относятся: 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- основная светотехническая функция;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- характер </w:t>
      </w:r>
      <w:proofErr w:type="spellStart"/>
      <w:r w:rsidRPr="00CF78EF">
        <w:rPr>
          <w:rFonts w:ascii="Times New Roman" w:hAnsi="Times New Roman" w:cs="Times New Roman"/>
          <w:sz w:val="28"/>
          <w:szCs w:val="28"/>
        </w:rPr>
        <w:t>светораспределения</w:t>
      </w:r>
      <w:proofErr w:type="spellEnd"/>
      <w:r w:rsidRPr="00CF78E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- условия эксплуатации и основное назначение. 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К дополнительным признакам относятся: 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- вид лампы</w:t>
      </w:r>
      <w:proofErr w:type="gramStart"/>
      <w:r w:rsidRPr="00CF78EF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- конкретная светотехническая функция;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- форма фотометрического тела;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- класс </w:t>
      </w:r>
      <w:proofErr w:type="spellStart"/>
      <w:r w:rsidRPr="00CF78EF">
        <w:rPr>
          <w:rFonts w:ascii="Times New Roman" w:hAnsi="Times New Roman" w:cs="Times New Roman"/>
          <w:sz w:val="28"/>
          <w:szCs w:val="28"/>
        </w:rPr>
        <w:t>светораспределения</w:t>
      </w:r>
      <w:proofErr w:type="spellEnd"/>
      <w:r w:rsidRPr="00CF78EF">
        <w:rPr>
          <w:rFonts w:ascii="Times New Roman" w:hAnsi="Times New Roman" w:cs="Times New Roman"/>
          <w:sz w:val="28"/>
          <w:szCs w:val="28"/>
        </w:rPr>
        <w:t>;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- </w:t>
      </w:r>
      <w:r w:rsidRPr="00CF78EF">
        <w:rPr>
          <w:rFonts w:ascii="Times New Roman" w:hAnsi="Times New Roman" w:cs="Times New Roman"/>
          <w:noProof/>
          <w:sz w:val="28"/>
          <w:szCs w:val="28"/>
        </w:rPr>
        <w:t>возможность перемещения в эксплуатации;</w:t>
      </w:r>
    </w:p>
    <w:p w:rsidR="00A0725C" w:rsidRPr="00CF78EF" w:rsidRDefault="00A0725C" w:rsidP="00A0725C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</w:rPr>
        <w:t>- способ установки;</w:t>
      </w:r>
    </w:p>
    <w:p w:rsidR="00A0725C" w:rsidRPr="00CF78EF" w:rsidRDefault="00A0725C" w:rsidP="00A0725C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</w:rPr>
        <w:t>- класс защиты от поражения электрическим током.</w:t>
      </w:r>
    </w:p>
    <w:p w:rsidR="00A0725C" w:rsidRPr="00CF78EF" w:rsidRDefault="00A0725C" w:rsidP="00A0725C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</w:rPr>
        <w:t>Классификации светильников по характеру светового потока показывает отношение светового потока, излучаемого в нижнюю полусферу Ф</w:t>
      </w:r>
      <w:r w:rsidRPr="00CF78EF">
        <w:rPr>
          <w:rFonts w:ascii="Times New Roman" w:hAnsi="Times New Roman" w:cs="Times New Roman"/>
          <w:noProof/>
          <w:sz w:val="28"/>
          <w:szCs w:val="28"/>
          <w:vertAlign w:val="subscript"/>
        </w:rPr>
        <w:t>СФ</w:t>
      </w:r>
      <w:r w:rsidRPr="00CF78EF">
        <w:rPr>
          <w:rFonts w:ascii="Times New Roman" w:hAnsi="Times New Roman" w:cs="Times New Roman"/>
          <w:noProof/>
          <w:sz w:val="28"/>
          <w:szCs w:val="28"/>
        </w:rPr>
        <w:t>к полному потоку светильника Ф</w:t>
      </w:r>
      <w:r w:rsidRPr="00CF78EF">
        <w:rPr>
          <w:rFonts w:ascii="Times New Roman" w:hAnsi="Times New Roman" w:cs="Times New Roman"/>
          <w:noProof/>
          <w:sz w:val="28"/>
          <w:szCs w:val="28"/>
          <w:vertAlign w:val="subscript"/>
        </w:rPr>
        <w:t>СВ</w:t>
      </w:r>
      <w:r w:rsidRPr="00CF78EF">
        <w:rPr>
          <w:rFonts w:ascii="Times New Roman" w:hAnsi="Times New Roman" w:cs="Times New Roman"/>
          <w:noProof/>
          <w:sz w:val="28"/>
          <w:szCs w:val="28"/>
        </w:rPr>
        <w:t>. В соответствии с этим признаком светильники делят на : 1) прямого света, 2) преимущественно прямого света, 3) рассеянного света, 4) преимущественно отраженного света, 5) отраженного света.</w:t>
      </w:r>
    </w:p>
    <w:tbl>
      <w:tblPr>
        <w:tblW w:w="9605" w:type="dxa"/>
        <w:jc w:val="right"/>
        <w:tblInd w:w="119" w:type="dxa"/>
        <w:tblLook w:val="04A0"/>
      </w:tblPr>
      <w:tblGrid>
        <w:gridCol w:w="1909"/>
        <w:gridCol w:w="4533"/>
        <w:gridCol w:w="3163"/>
      </w:tblGrid>
      <w:tr w:rsidR="00A0725C" w:rsidRPr="00CF78EF" w:rsidTr="007B041E">
        <w:trPr>
          <w:trHeight w:val="375"/>
          <w:jc w:val="right"/>
        </w:trPr>
        <w:tc>
          <w:tcPr>
            <w:tcW w:w="96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Таблица 3.1 - Классы светильников по </w:t>
            </w:r>
            <w:proofErr w:type="spellStart"/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светораспределению</w:t>
            </w:r>
            <w:proofErr w:type="spellEnd"/>
          </w:p>
        </w:tc>
      </w:tr>
      <w:tr w:rsidR="00A0725C" w:rsidRPr="00CF78EF" w:rsidTr="007B041E">
        <w:trPr>
          <w:trHeight w:val="1218"/>
          <w:jc w:val="right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725C" w:rsidRPr="00CF78EF" w:rsidRDefault="00A0725C" w:rsidP="007B0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Обозначение класса светильника</w:t>
            </w:r>
          </w:p>
        </w:tc>
        <w:tc>
          <w:tcPr>
            <w:tcW w:w="4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725C" w:rsidRPr="00CF78EF" w:rsidRDefault="00A0725C" w:rsidP="007B0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класса светильника</w:t>
            </w:r>
          </w:p>
        </w:tc>
        <w:tc>
          <w:tcPr>
            <w:tcW w:w="3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725C" w:rsidRPr="00CF78EF" w:rsidRDefault="00A0725C" w:rsidP="007B0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Доля светового потока направленного в нижнюю полусферу от потока светильника, %</w:t>
            </w:r>
          </w:p>
        </w:tc>
      </w:tr>
      <w:tr w:rsidR="00A0725C" w:rsidRPr="00CF78EF" w:rsidTr="007B041E">
        <w:trPr>
          <w:trHeight w:val="375"/>
          <w:jc w:val="right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Прямого света</w:t>
            </w:r>
          </w:p>
        </w:tc>
        <w:tc>
          <w:tcPr>
            <w:tcW w:w="3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Свыше 80%</w:t>
            </w:r>
          </w:p>
        </w:tc>
      </w:tr>
      <w:tr w:rsidR="00A0725C" w:rsidRPr="00CF78EF" w:rsidTr="007B041E">
        <w:trPr>
          <w:trHeight w:val="375"/>
          <w:jc w:val="right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4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Преимущественно прямого света</w:t>
            </w:r>
          </w:p>
        </w:tc>
        <w:tc>
          <w:tcPr>
            <w:tcW w:w="3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60-80</w:t>
            </w:r>
          </w:p>
        </w:tc>
      </w:tr>
      <w:tr w:rsidR="00A0725C" w:rsidRPr="00CF78EF" w:rsidTr="007B041E">
        <w:trPr>
          <w:trHeight w:val="375"/>
          <w:jc w:val="right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Рассеянного света</w:t>
            </w:r>
          </w:p>
        </w:tc>
        <w:tc>
          <w:tcPr>
            <w:tcW w:w="3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40-60</w:t>
            </w:r>
          </w:p>
        </w:tc>
      </w:tr>
      <w:tr w:rsidR="00A0725C" w:rsidRPr="00CF78EF" w:rsidTr="007B041E">
        <w:trPr>
          <w:trHeight w:val="375"/>
          <w:jc w:val="right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4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Преимущественно отраженного света</w:t>
            </w:r>
          </w:p>
        </w:tc>
        <w:tc>
          <w:tcPr>
            <w:tcW w:w="3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20-40</w:t>
            </w:r>
          </w:p>
        </w:tc>
      </w:tr>
      <w:tr w:rsidR="00A0725C" w:rsidRPr="00CF78EF" w:rsidTr="007B041E">
        <w:trPr>
          <w:trHeight w:val="375"/>
          <w:jc w:val="right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4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Отраженного света</w:t>
            </w:r>
          </w:p>
        </w:tc>
        <w:tc>
          <w:tcPr>
            <w:tcW w:w="3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и менее</w:t>
            </w:r>
          </w:p>
        </w:tc>
      </w:tr>
    </w:tbl>
    <w:p w:rsidR="00A0725C" w:rsidRPr="00CF78EF" w:rsidRDefault="00A0725C" w:rsidP="00A0725C">
      <w:pPr>
        <w:rPr>
          <w:rFonts w:ascii="Times New Roman" w:hAnsi="Times New Roman" w:cs="Times New Roman"/>
          <w:noProof/>
          <w:sz w:val="28"/>
          <w:szCs w:val="28"/>
        </w:rPr>
      </w:pPr>
    </w:p>
    <w:p w:rsidR="00A0725C" w:rsidRPr="00CF78EF" w:rsidRDefault="00A0725C" w:rsidP="00A072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</w:rPr>
        <w:t>Классификации светильников по форме кривой силы света; К -концентрированная</w:t>
      </w:r>
      <w:r w:rsidRPr="00CF78EF">
        <w:rPr>
          <w:rFonts w:ascii="Times New Roman" w:hAnsi="Times New Roman" w:cs="Times New Roman"/>
          <w:sz w:val="28"/>
          <w:szCs w:val="28"/>
        </w:rPr>
        <w:t xml:space="preserve">, Г - глубокая, Д - косинусная, Л - </w:t>
      </w:r>
      <w:proofErr w:type="spellStart"/>
      <w:r w:rsidRPr="00CF78EF">
        <w:rPr>
          <w:rFonts w:ascii="Times New Roman" w:hAnsi="Times New Roman" w:cs="Times New Roman"/>
          <w:sz w:val="28"/>
          <w:szCs w:val="28"/>
        </w:rPr>
        <w:t>полуширокая</w:t>
      </w:r>
      <w:proofErr w:type="spellEnd"/>
      <w:r w:rsidRPr="00CF78EF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F78EF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CF78EF">
        <w:rPr>
          <w:rFonts w:ascii="Times New Roman" w:hAnsi="Times New Roman" w:cs="Times New Roman"/>
          <w:sz w:val="28"/>
          <w:szCs w:val="28"/>
        </w:rPr>
        <w:t xml:space="preserve"> - широкая, М - равномерная, С - синусная. Типовые кривые силы света </w:t>
      </w:r>
      <w:r w:rsidRPr="00CF78EF">
        <w:rPr>
          <w:rFonts w:ascii="Times New Roman" w:hAnsi="Times New Roman" w:cs="Times New Roman"/>
          <w:sz w:val="28"/>
          <w:szCs w:val="28"/>
        </w:rPr>
        <w:lastRenderedPageBreak/>
        <w:t>приводятся для светового потока Ф</w:t>
      </w:r>
      <w:r w:rsidRPr="00CF78EF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r w:rsidRPr="00CF78EF">
        <w:rPr>
          <w:rFonts w:ascii="Times New Roman" w:hAnsi="Times New Roman" w:cs="Times New Roman"/>
          <w:sz w:val="28"/>
          <w:szCs w:val="28"/>
        </w:rPr>
        <w:t>=1000 лм, на рисунке 3.3, характеристики кривых в таблице 3.2.</w:t>
      </w:r>
    </w:p>
    <w:p w:rsidR="00A0725C" w:rsidRPr="00CF78EF" w:rsidRDefault="00A0725C" w:rsidP="00A0725C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По степени защиты от окружающей среды светильники делятся </w:t>
      </w:r>
      <w:proofErr w:type="gramStart"/>
      <w:r w:rsidRPr="00CF78E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F78EF">
        <w:rPr>
          <w:rFonts w:ascii="Times New Roman" w:hAnsi="Times New Roman" w:cs="Times New Roman"/>
          <w:sz w:val="28"/>
          <w:szCs w:val="28"/>
        </w:rPr>
        <w:t xml:space="preserve"> </w:t>
      </w:r>
      <w:r w:rsidRPr="00CF78EF">
        <w:rPr>
          <w:rFonts w:ascii="Times New Roman" w:hAnsi="Times New Roman" w:cs="Times New Roman"/>
          <w:i/>
          <w:sz w:val="28"/>
          <w:szCs w:val="28"/>
        </w:rPr>
        <w:t>открытые, пылезащищенные, влагозащищенные и взрывозащищенные.</w:t>
      </w:r>
    </w:p>
    <w:p w:rsidR="00A0725C" w:rsidRPr="00CF78EF" w:rsidRDefault="00A0725C" w:rsidP="00A072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Степень защиты обозначается двумя латинскими буквами </w:t>
      </w:r>
      <w:r w:rsidRPr="00CF78EF">
        <w:rPr>
          <w:rFonts w:ascii="Times New Roman" w:hAnsi="Times New Roman" w:cs="Times New Roman"/>
          <w:sz w:val="28"/>
          <w:szCs w:val="28"/>
          <w:lang w:val="en-US"/>
        </w:rPr>
        <w:t>IP</w:t>
      </w:r>
      <w:r w:rsidRPr="00CF78EF">
        <w:rPr>
          <w:rFonts w:ascii="Times New Roman" w:hAnsi="Times New Roman" w:cs="Times New Roman"/>
          <w:sz w:val="28"/>
          <w:szCs w:val="28"/>
        </w:rPr>
        <w:t xml:space="preserve"> и двумя цифрами </w:t>
      </w:r>
    </w:p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object w:dxaOrig="7261" w:dyaOrig="1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pt;height:100.5pt" o:ole="">
            <v:imagedata r:id="rId4" o:title=""/>
          </v:shape>
          <o:OLEObject Type="Embed" ProgID="Visio.Drawing.6" ShapeID="_x0000_i1025" DrawAspect="Content" ObjectID="_1440880959" r:id="rId5"/>
        </w:object>
      </w: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object w:dxaOrig="6012" w:dyaOrig="5093">
          <v:shape id="_x0000_i1026" type="#_x0000_t75" style="width:381pt;height:323.25pt" o:ole="">
            <v:imagedata r:id="rId6" o:title=""/>
          </v:shape>
          <o:OLEObject Type="Embed" ProgID="Visio.Drawing.6" ShapeID="_x0000_i1026" DrawAspect="Content" ObjectID="_1440880960" r:id="rId7"/>
        </w:object>
      </w: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Рисунок 3.3 - Типовые кривые силы света</w:t>
      </w: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108" w:type="dxa"/>
        <w:tblLayout w:type="fixed"/>
        <w:tblLook w:val="04A0"/>
      </w:tblPr>
      <w:tblGrid>
        <w:gridCol w:w="851"/>
        <w:gridCol w:w="2126"/>
        <w:gridCol w:w="2126"/>
        <w:gridCol w:w="1985"/>
        <w:gridCol w:w="2268"/>
      </w:tblGrid>
      <w:tr w:rsidR="00A0725C" w:rsidRPr="00CF78EF" w:rsidTr="007B041E">
        <w:trPr>
          <w:trHeight w:val="375"/>
        </w:trPr>
        <w:tc>
          <w:tcPr>
            <w:tcW w:w="93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Таблица 3.2- Типы кривых силы света</w:t>
            </w:r>
          </w:p>
        </w:tc>
      </w:tr>
      <w:tr w:rsidR="00A0725C" w:rsidRPr="00CF78EF" w:rsidTr="007B041E">
        <w:trPr>
          <w:trHeight w:val="12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Обозначение типа</w:t>
            </w:r>
          </w:p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КСС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типа КСС в верхней и нижней полусферах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Зона возможных направлений максимальной силы света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Значения коэффициентов формы КСС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Приближенное</w:t>
            </w:r>
          </w:p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математическое</w:t>
            </w:r>
          </w:p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выражение КСС</w:t>
            </w:r>
          </w:p>
        </w:tc>
      </w:tr>
      <w:tr w:rsidR="00A0725C" w:rsidRPr="00CF78EF" w:rsidTr="007B041E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Концентрированная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0-15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Ф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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m:oMath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α</m:t>
                  </m:r>
                </m:sub>
              </m:sSub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cos</m:t>
              </m:r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 xml:space="preserve"> </m:t>
              </m:r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nα</m:t>
              </m:r>
            </m:oMath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</w:tr>
      <w:tr w:rsidR="00A0725C" w:rsidRPr="00CF78EF" w:rsidTr="007B041E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Глубокая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0-30, 180-150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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К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Ф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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m:oMath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α</m:t>
                  </m:r>
                </m:sub>
              </m:sSub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cos</m:t>
              </m:r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 xml:space="preserve"> </m:t>
              </m:r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nα</m:t>
              </m:r>
            </m:oMath>
          </w:p>
        </w:tc>
      </w:tr>
      <w:tr w:rsidR="00A0725C" w:rsidRPr="00CF78EF" w:rsidTr="007B041E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Косинусная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0-35, 180-145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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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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К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Ф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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m:oMath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α</m:t>
                  </m:r>
                </m:sub>
              </m:sSub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cosα</m:t>
              </m:r>
            </m:oMath>
          </w:p>
        </w:tc>
      </w:tr>
      <w:tr w:rsidR="00A0725C" w:rsidRPr="00CF78EF" w:rsidTr="007B041E">
        <w:trPr>
          <w:trHeight w:val="6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Полуширокая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35-55, 145-125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Ф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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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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m:oMath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α</m:t>
                  </m:r>
                </m:sub>
              </m:sSub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Times New Roman" w:cs="Times New Roman"/>
                          <w:i/>
                          <w:color w:val="000000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cosα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cos</m:t>
                      </m:r>
                      <m:d>
                        <m:dPr>
                          <m:ctrlPr>
                            <w:rPr>
                              <w:rFonts w:ascii="Cambria Math" w:eastAsia="Times New Roman" w:hAnsi="Times New Roman" w:cs="Times New Roman"/>
                              <w:i/>
                              <w:color w:val="000000"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28"/>
                              <w:szCs w:val="28"/>
                            </w:rPr>
                            <m:t>θ</m:t>
                          </m:r>
                          <m:r>
                            <w:rPr>
                              <w:rFonts w:ascii="Cambria Math" w:eastAsia="Times New Roman" w:hAnsi="Times New Roman" w:cs="Times New Roman"/>
                              <w:color w:val="000000"/>
                              <w:sz w:val="28"/>
                              <w:szCs w:val="28"/>
                            </w:rPr>
                            <m:t>∙</m:t>
                          </m:r>
                          <m:sSup>
                            <m:sSupPr>
                              <m:ctrlPr>
                                <w:rPr>
                                  <w:rFonts w:ascii="Cambria Math" w:eastAsia="Times New Roman" w:hAnsi="Times New Roman" w:cs="Times New Roman"/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28"/>
                                  <w:szCs w:val="28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28"/>
                                  <w:szCs w:val="28"/>
                                </w:rPr>
                                <m:t>m</m:t>
                              </m:r>
                              <m:r>
                                <w:rPr>
                                  <w:rFonts w:ascii="Cambria Math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m:t>∙</m:t>
                              </m:r>
                            </m:sup>
                          </m:s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28"/>
                              <w:szCs w:val="28"/>
                            </w:rPr>
                            <m:t>Cα</m:t>
                          </m:r>
                        </m:e>
                      </m:d>
                    </m:den>
                  </m:f>
                </m:e>
              </m:d>
            </m:oMath>
          </w:p>
        </w:tc>
      </w:tr>
      <w:tr w:rsidR="00A0725C" w:rsidRPr="00CF78EF" w:rsidTr="007B041E">
        <w:trPr>
          <w:trHeight w:val="713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Широкая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55-85, 125-95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Ф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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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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m:oMath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α</m:t>
                  </m:r>
                </m:sub>
              </m:sSub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Times New Roman" w:cs="Times New Roman"/>
                          <w:i/>
                          <w:color w:val="000000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cosα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</w:rPr>
                        <m:t>cos</m:t>
                      </m:r>
                      <m:d>
                        <m:dPr>
                          <m:ctrlPr>
                            <w:rPr>
                              <w:rFonts w:ascii="Cambria Math" w:eastAsia="Times New Roman" w:hAnsi="Times New Roman" w:cs="Times New Roman"/>
                              <w:i/>
                              <w:color w:val="000000"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28"/>
                              <w:szCs w:val="28"/>
                            </w:rPr>
                            <m:t>θ</m:t>
                          </m:r>
                          <m:sSup>
                            <m:sSupPr>
                              <m:ctrlPr>
                                <w:rPr>
                                  <w:rFonts w:ascii="Cambria Math" w:eastAsia="Times New Roman" w:hAnsi="Times New Roman" w:cs="Times New Roman"/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m:t>∙</m:t>
                              </m:r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28"/>
                                  <w:szCs w:val="28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28"/>
                                  <w:szCs w:val="28"/>
                                </w:rPr>
                                <m:t>m</m:t>
                              </m:r>
                              <m:r>
                                <w:rPr>
                                  <w:rFonts w:ascii="Cambria Math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m:t>∙</m:t>
                              </m:r>
                            </m:sup>
                          </m:s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28"/>
                              <w:szCs w:val="28"/>
                            </w:rPr>
                            <m:t>Cα</m:t>
                          </m:r>
                        </m:e>
                      </m:d>
                    </m:den>
                  </m:f>
                </m:e>
              </m:d>
            </m:oMath>
          </w:p>
        </w:tc>
      </w:tr>
      <w:tr w:rsidR="00A0725C" w:rsidRPr="00CF78EF" w:rsidTr="007B041E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Равномерная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0-90, 180-90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Ф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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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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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при</w:t>
            </w:r>
            <w:proofErr w:type="spellEnd"/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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min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sym w:font="Symbol" w:char="F03E"/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,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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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max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m:oMath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α</m:t>
                  </m:r>
                </m:sub>
              </m:sSub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</m:oMath>
          </w:p>
        </w:tc>
      </w:tr>
      <w:tr w:rsidR="00A0725C" w:rsidRPr="00CF78EF" w:rsidTr="007B041E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Синусная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70-90, 110-90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Ф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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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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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при</w:t>
            </w:r>
            <w:proofErr w:type="spellEnd"/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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0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0,7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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</w:t>
            </w: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max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25C" w:rsidRPr="00CF78EF" w:rsidRDefault="00A0725C" w:rsidP="007B041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F78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m:oMath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α</m:t>
                  </m:r>
                </m:sub>
              </m:sSub>
              <m:r>
                <w:rPr>
                  <w:rFonts w:ascii="Cambria Math" w:eastAsia="Times New Roman" w:hAnsi="Times New Roman" w:cs="Times New Roman"/>
                  <w:color w:val="000000"/>
                  <w:sz w:val="28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sinα</m:t>
              </m:r>
            </m:oMath>
          </w:p>
        </w:tc>
      </w:tr>
    </w:tbl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Защиту светильников от попадания пыли обозначает первая цифра в маркировке исполнения светильника, обозначение приведено в таблице 3.3</w:t>
      </w: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04"/>
        <w:gridCol w:w="2762"/>
        <w:gridCol w:w="4942"/>
        <w:gridCol w:w="963"/>
      </w:tblGrid>
      <w:tr w:rsidR="00A0725C" w:rsidRPr="00CF78EF" w:rsidTr="007B041E">
        <w:trPr>
          <w:trHeight w:val="316"/>
          <w:jc w:val="right"/>
        </w:trPr>
        <w:tc>
          <w:tcPr>
            <w:tcW w:w="976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Таблица 3.3 - Степени защиты светильников от пыли</w:t>
            </w:r>
          </w:p>
        </w:tc>
      </w:tr>
      <w:tr w:rsidR="00A0725C" w:rsidRPr="00CF78EF" w:rsidTr="007B041E">
        <w:trPr>
          <w:trHeight w:val="316"/>
          <w:jc w:val="right"/>
        </w:trPr>
        <w:tc>
          <w:tcPr>
            <w:tcW w:w="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725C" w:rsidRPr="00CF78EF" w:rsidRDefault="00A0725C" w:rsidP="007B041E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Защита от пыли</w:t>
            </w:r>
          </w:p>
        </w:tc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Пыле </w:t>
            </w:r>
            <w:proofErr w:type="gram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незащищенные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открытые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0725C" w:rsidRPr="00CF78EF" w:rsidTr="007B041E">
        <w:trPr>
          <w:trHeight w:val="145"/>
          <w:jc w:val="right"/>
        </w:trPr>
        <w:tc>
          <w:tcPr>
            <w:tcW w:w="912" w:type="dxa"/>
            <w:vMerge/>
            <w:tcBorders>
              <w:top w:val="single" w:sz="4" w:space="0" w:color="auto"/>
            </w:tcBorders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0" w:type="dxa"/>
            <w:vMerge/>
            <w:tcBorders>
              <w:top w:val="single" w:sz="4" w:space="0" w:color="auto"/>
            </w:tcBorders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перекрытые</w:t>
            </w:r>
            <w:proofErr w:type="gramEnd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 с неуплотненной светонепроницаемой оболочкой;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F78E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sym w:font="Symbol" w:char="F0A2"/>
            </w:r>
          </w:p>
        </w:tc>
      </w:tr>
      <w:tr w:rsidR="00A0725C" w:rsidRPr="00CF78EF" w:rsidTr="007B041E">
        <w:trPr>
          <w:trHeight w:val="145"/>
          <w:jc w:val="right"/>
        </w:trPr>
        <w:tc>
          <w:tcPr>
            <w:tcW w:w="912" w:type="dxa"/>
            <w:vMerge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0" w:type="dxa"/>
            <w:vMerge w:val="restart"/>
            <w:vAlign w:val="center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Пылезащищенные</w:t>
            </w:r>
          </w:p>
        </w:tc>
        <w:tc>
          <w:tcPr>
            <w:tcW w:w="5103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допускающие</w:t>
            </w:r>
            <w:proofErr w:type="gramEnd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 проникновение пыли в полость светильника, только в безвредных количествах;</w:t>
            </w:r>
          </w:p>
        </w:tc>
        <w:tc>
          <w:tcPr>
            <w:tcW w:w="1006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0725C" w:rsidRPr="00CF78EF" w:rsidTr="007B041E">
        <w:trPr>
          <w:trHeight w:val="145"/>
          <w:jc w:val="right"/>
        </w:trPr>
        <w:tc>
          <w:tcPr>
            <w:tcW w:w="912" w:type="dxa"/>
            <w:vMerge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0" w:type="dxa"/>
            <w:vMerge/>
            <w:vAlign w:val="center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с ограниченной зоной </w:t>
            </w:r>
            <w:proofErr w:type="spell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пылезащиты</w:t>
            </w:r>
            <w:proofErr w:type="spellEnd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допускающие проникновение пыли только в пределах расположения </w:t>
            </w:r>
          </w:p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контактных частей;</w:t>
            </w:r>
          </w:p>
        </w:tc>
        <w:tc>
          <w:tcPr>
            <w:tcW w:w="1006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F78EF">
              <w:rPr>
                <w:rFonts w:ascii="Times New Roman" w:hAnsi="Times New Roman" w:cs="Times New Roman"/>
                <w:sz w:val="28"/>
                <w:szCs w:val="28"/>
              </w:rPr>
              <w:sym w:font="Symbol" w:char="F0A2"/>
            </w:r>
          </w:p>
        </w:tc>
      </w:tr>
      <w:tr w:rsidR="00A0725C" w:rsidRPr="00CF78EF" w:rsidTr="007B041E">
        <w:trPr>
          <w:trHeight w:val="145"/>
          <w:jc w:val="right"/>
        </w:trPr>
        <w:tc>
          <w:tcPr>
            <w:tcW w:w="912" w:type="dxa"/>
            <w:vMerge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0" w:type="dxa"/>
            <w:vMerge w:val="restart"/>
            <w:vAlign w:val="center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Пыленепроницаемые</w:t>
            </w:r>
          </w:p>
        </w:tc>
        <w:tc>
          <w:tcPr>
            <w:tcW w:w="5103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пыленепроницаемое</w:t>
            </w:r>
          </w:p>
        </w:tc>
        <w:tc>
          <w:tcPr>
            <w:tcW w:w="1006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0725C" w:rsidRPr="00CF78EF" w:rsidTr="007B041E">
        <w:trPr>
          <w:trHeight w:val="145"/>
          <w:jc w:val="right"/>
        </w:trPr>
        <w:tc>
          <w:tcPr>
            <w:tcW w:w="912" w:type="dxa"/>
            <w:vMerge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0" w:type="dxa"/>
            <w:vMerge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с ограниченной зоной пыленепроницаемости</w:t>
            </w:r>
          </w:p>
        </w:tc>
        <w:tc>
          <w:tcPr>
            <w:tcW w:w="1006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F78EF">
              <w:rPr>
                <w:rFonts w:ascii="Times New Roman" w:hAnsi="Times New Roman" w:cs="Times New Roman"/>
                <w:sz w:val="28"/>
                <w:szCs w:val="28"/>
              </w:rPr>
              <w:sym w:font="Symbol" w:char="F0A2"/>
            </w:r>
          </w:p>
        </w:tc>
      </w:tr>
    </w:tbl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Защиту светильников от попадания воды обозначает вторая цифра в маркировке исполнения светильника, обозначение приведено в таблице 3.4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49"/>
        <w:gridCol w:w="1231"/>
        <w:gridCol w:w="5891"/>
      </w:tblGrid>
      <w:tr w:rsidR="00A0725C" w:rsidRPr="00CF78EF" w:rsidTr="007B041E">
        <w:tc>
          <w:tcPr>
            <w:tcW w:w="95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Таблица 3.4 - Степени защиты светильников от воды</w:t>
            </w:r>
          </w:p>
        </w:tc>
      </w:tr>
      <w:tr w:rsidR="00A0725C" w:rsidRPr="00CF78EF" w:rsidTr="007B041E"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Защита от воды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Незащищенное</w:t>
            </w:r>
          </w:p>
        </w:tc>
      </w:tr>
      <w:tr w:rsidR="00A0725C" w:rsidRPr="00CF78EF" w:rsidTr="007B041E"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91" w:type="dxa"/>
            <w:tcBorders>
              <w:top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Каплезащищенное</w:t>
            </w:r>
            <w:proofErr w:type="spellEnd"/>
          </w:p>
        </w:tc>
      </w:tr>
      <w:tr w:rsidR="00A0725C" w:rsidRPr="00CF78EF" w:rsidTr="007B041E"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1" w:type="dxa"/>
            <w:tcBorders>
              <w:left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91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Дождезащищенное</w:t>
            </w:r>
          </w:p>
        </w:tc>
      </w:tr>
      <w:tr w:rsidR="00A0725C" w:rsidRPr="00CF78EF" w:rsidTr="007B041E"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1" w:type="dxa"/>
            <w:tcBorders>
              <w:left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91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Брызгозащищенное</w:t>
            </w:r>
            <w:proofErr w:type="spellEnd"/>
          </w:p>
        </w:tc>
      </w:tr>
      <w:tr w:rsidR="00A0725C" w:rsidRPr="00CF78EF" w:rsidTr="007B041E"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1" w:type="dxa"/>
            <w:tcBorders>
              <w:left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91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Струезащищенное</w:t>
            </w:r>
            <w:proofErr w:type="spellEnd"/>
          </w:p>
        </w:tc>
      </w:tr>
    </w:tbl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Защита от взрыва и пожара выполняется светильниками повышенной надежности - взрывобезопасного, взрывозащищенного исполнений.</w:t>
      </w:r>
    </w:p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8EF">
        <w:rPr>
          <w:rFonts w:ascii="Times New Roman" w:hAnsi="Times New Roman" w:cs="Times New Roman"/>
          <w:b/>
          <w:sz w:val="28"/>
          <w:szCs w:val="28"/>
        </w:rPr>
        <w:t>3.4 Маркировка светильников</w:t>
      </w:r>
    </w:p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lastRenderedPageBreak/>
        <w:t xml:space="preserve">Применяется единая система обозначения световых приборов с источниками света. </w:t>
      </w: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object w:dxaOrig="8980" w:dyaOrig="5693">
          <v:shape id="_x0000_i1027" type="#_x0000_t75" style="width:473.25pt;height:300pt" o:ole="">
            <v:imagedata r:id="rId8" o:title=""/>
          </v:shape>
          <o:OLEObject Type="Embed" ProgID="Visio.Drawing.6" ShapeID="_x0000_i1027" DrawAspect="Content" ObjectID="_1440880961" r:id="rId9"/>
        </w:object>
      </w: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725C" w:rsidRPr="00CF78EF" w:rsidRDefault="00A0725C" w:rsidP="00A0725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660"/>
        <w:gridCol w:w="850"/>
        <w:gridCol w:w="2268"/>
        <w:gridCol w:w="724"/>
        <w:gridCol w:w="2820"/>
        <w:gridCol w:w="532"/>
      </w:tblGrid>
      <w:tr w:rsidR="00A0725C" w:rsidRPr="00CF78EF" w:rsidTr="007B041E">
        <w:trPr>
          <w:cantSplit/>
          <w:trHeight w:val="281"/>
        </w:trPr>
        <w:tc>
          <w:tcPr>
            <w:tcW w:w="985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0725C" w:rsidRPr="00CF78EF" w:rsidRDefault="00A0725C" w:rsidP="007B041E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Таблица 3.5 - Условные буквенные обозначения светильников</w:t>
            </w:r>
          </w:p>
        </w:tc>
      </w:tr>
      <w:tr w:rsidR="00A0725C" w:rsidRPr="00CF78EF" w:rsidTr="007B041E">
        <w:trPr>
          <w:cantSplit/>
          <w:trHeight w:val="283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Тип источника света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0725C" w:rsidRPr="00CF78EF" w:rsidRDefault="00A0725C" w:rsidP="007B041E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Обозначение источника света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Способ установки СП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0725C" w:rsidRPr="00CF78EF" w:rsidRDefault="00A0725C" w:rsidP="007B041E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Обозначение способа установки СП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Основное назначение СП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0725C" w:rsidRPr="00CF78EF" w:rsidRDefault="00A0725C" w:rsidP="007B041E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Обозначение СП </w:t>
            </w:r>
          </w:p>
        </w:tc>
      </w:tr>
      <w:tr w:rsidR="00A0725C" w:rsidRPr="00CF78EF" w:rsidTr="007B041E">
        <w:tc>
          <w:tcPr>
            <w:tcW w:w="2660" w:type="dxa"/>
            <w:tcBorders>
              <w:top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Лампы накаливания: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Подвесные</w:t>
            </w:r>
          </w:p>
        </w:tc>
        <w:tc>
          <w:tcPr>
            <w:tcW w:w="724" w:type="dxa"/>
            <w:tcBorders>
              <w:top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820" w:type="dxa"/>
            <w:tcBorders>
              <w:top w:val="single" w:sz="4" w:space="0" w:color="auto"/>
            </w:tcBorders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Для промышленных предприятий</w:t>
            </w:r>
          </w:p>
        </w:tc>
        <w:tc>
          <w:tcPr>
            <w:tcW w:w="532" w:type="dxa"/>
            <w:tcBorders>
              <w:top w:val="single" w:sz="4" w:space="0" w:color="auto"/>
            </w:tcBorders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A0725C" w:rsidRPr="00CF78EF" w:rsidTr="007B041E">
        <w:tc>
          <w:tcPr>
            <w:tcW w:w="2660" w:type="dxa"/>
            <w:vAlign w:val="center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- общего назначения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Потолочные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Для рудников и шахт</w:t>
            </w:r>
          </w:p>
        </w:tc>
        <w:tc>
          <w:tcPr>
            <w:tcW w:w="532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A0725C" w:rsidRPr="00CF78EF" w:rsidTr="007B041E">
        <w:tc>
          <w:tcPr>
            <w:tcW w:w="2660" w:type="dxa"/>
            <w:vAlign w:val="center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- лампы светильники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Настенные 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Для общественных зданий</w:t>
            </w:r>
          </w:p>
        </w:tc>
        <w:tc>
          <w:tcPr>
            <w:tcW w:w="532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- галогенные 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Настольные 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Люминесцентные лампы: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Напольные 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Для жилых помещений</w:t>
            </w:r>
          </w:p>
        </w:tc>
        <w:tc>
          <w:tcPr>
            <w:tcW w:w="532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- прямые трубчатые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Встраиваемые 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- фигурные (</w:t>
            </w:r>
            <w:r w:rsidRPr="00CF78E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F78E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F78E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 и др.)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Консольные 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Для наружного освещения</w:t>
            </w:r>
          </w:p>
        </w:tc>
        <w:tc>
          <w:tcPr>
            <w:tcW w:w="532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эритемные</w:t>
            </w:r>
            <w:proofErr w:type="spellEnd"/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Э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Ручные сетевые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Ртутные лампы ДРЛ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Ручные аккумуляторные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Металлогалогенные</w:t>
            </w:r>
            <w:proofErr w:type="spellEnd"/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Головные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Натриевые 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Пристраиваемые </w:t>
            </w: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 xml:space="preserve">Бактерицидные 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4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725C" w:rsidRPr="00CF78EF" w:rsidTr="007B041E">
        <w:tc>
          <w:tcPr>
            <w:tcW w:w="266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Ксеноновые трубчатые</w:t>
            </w:r>
          </w:p>
        </w:tc>
        <w:tc>
          <w:tcPr>
            <w:tcW w:w="850" w:type="dxa"/>
            <w:vAlign w:val="center"/>
          </w:tcPr>
          <w:p w:rsidR="00A0725C" w:rsidRPr="00CF78EF" w:rsidRDefault="00A0725C" w:rsidP="007B0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8E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2268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4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A0725C" w:rsidRPr="00CF78EF" w:rsidRDefault="00A0725C" w:rsidP="007B0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725C" w:rsidRPr="00CF78EF" w:rsidRDefault="00A0725C" w:rsidP="00A0725C">
      <w:pPr>
        <w:rPr>
          <w:rFonts w:ascii="Times New Roman" w:hAnsi="Times New Roman" w:cs="Times New Roman"/>
          <w:sz w:val="28"/>
          <w:szCs w:val="28"/>
        </w:rPr>
      </w:pPr>
    </w:p>
    <w:p w:rsidR="00697C6C" w:rsidRDefault="00697C6C"/>
    <w:sectPr w:rsidR="00697C6C" w:rsidSect="00B23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725C"/>
    <w:rsid w:val="002B2284"/>
    <w:rsid w:val="00697C6C"/>
    <w:rsid w:val="00A0725C"/>
    <w:rsid w:val="00F60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2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2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680</Words>
  <Characters>3881</Characters>
  <Application>Microsoft Office Word</Application>
  <DocSecurity>0</DocSecurity>
  <Lines>32</Lines>
  <Paragraphs>9</Paragraphs>
  <ScaleCrop>false</ScaleCrop>
  <Company/>
  <LinksUpToDate>false</LinksUpToDate>
  <CharactersWithSpaces>4552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2013-09-16T17:54:00Z</dcterms:created>
  <dcterms:modified xsi:type="dcterms:W3CDTF">2013-09-16T17:56:00Z</dcterms:modified>
</cp:coreProperties>
</file>