
<file path=[Content_Types].xml><?xml version="1.0" encoding="utf-8"?>
<Types xmlns="http://schemas.openxmlformats.org/package/2006/content-types">
  <Default Extension="rels" ContentType="application/vnd.openxmlformats-package.relationships+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image/png" PartName="/word/media/document_image_rId3.png"/>
  <Override ContentType="application/vnd.openxmlformats-officedocument.wordprocessingml.numbering+xml" PartName="/word/numbering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Target="word/document.xml" Type="http://schemas.openxmlformats.org/officeDocument/2006/relationships/officeDocument" Id="rId1"/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3"/></Relationships>
</file>

<file path=word/document.xml><?xml version="1.0" encoding="utf-8"?>
<w:document xmlns:w="http://schemas.openxmlformats.org/wordprocessingml/2006/main" xmlns:w15="http://schemas.microsoft.com/office/word/2012/wordml" xmlns:r="http://schemas.openxmlformats.org/officeDocument/2006/relationships" xmlns:m="http://schemas.openxmlformats.org/officeDocument/2006/math" xmlns:w14="http://schemas.microsoft.com/office/word/2010/wordml" xmlns:wp="http://schemas.openxmlformats.org/drawingml/2006/wordprocessingDrawing" xmlns:a="http://schemas.openxmlformats.org/drawingml/2006/main" xmlns:ns8="http://schemas.openxmlformats.org/schemaLibrary/2006/main" xmlns:mc="http://schemas.openxmlformats.org/markup-compatibility/2006" xmlns:wne="http://schemas.microsoft.com/office/word/2006/wordml" xmlns:c="http://schemas.openxmlformats.org/drawingml/2006/chart" xmlns:ns12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v="urn:schemas-microsoft-com:vml" xmlns:o="urn:schemas-microsoft-com:office:office" xmlns:ns19="urn:schemas-microsoft-com:office:excel" xmlns:w10="urn:schemas-microsoft-com:office:word" xmlns:ns21="urn:schemas-microsoft-com:office:powerpoint" xmlns:ns23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ns30="http://schemas.openxmlformats.org/officeDocument/2006/bibliography" xmlns:ns31="http://schemas.openxmlformats.org/drawingml/2006/compatibility" xmlns:ns32="http://schemas.openxmlformats.org/drawingml/2006/lockedCanvas" mc:Ignorable="w14 w15">
  <w:body>
    <w:p w14:paraId="1923c3d" w14:textId="1923c3d">
      <w:pPr>
        <w:spacing w:after="0"/>
        <w:ind w:left="0"/>
        <w:jc w:val="left"/>
        <w15:collapsed w:val="false"/>
      </w:pPr>
      <w:r>
        <w:rPr>
          <w:rFonts w:ascii="Times New Roman"/>
          <w:b w:val="false"/>
          <w:i w:val="false"/>
          <w:color w:val="000000"/>
          <w:sz w:val="28"/>
        </w:rPr>
        <w:t>
				</w:t>
      </w:r>
      <w:r>
        <w:drawing>
          <wp:inline distT="0" distB="0" distL="0" distR="0">
            <wp:extent cx="2057400" cy="571500"/>
            <wp:effectExtent l="0" t="0" r="0" b="0"/>
            <wp:docPr id="0" name="" descr=""/>
            <wp:cNvGraphicFramePr>
              <a:graphicFrameLocks noChangeAspect="true"/>
            </wp:cNvGraphicFramePr>
            <a:graphic>
              <a:graphicData uri="http://schemas.openxmlformats.org/drawingml/2006/picture">
                <pic:pic>
                  <pic:nvPicPr>
                    <pic:cNvPr id="1" name="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false"/>
          <w:i w:val="false"/>
          <w:color w:val="000000"/>
          <w:sz w:val="28"/>
        </w:rPr>
        <w:t>
					</w:t>
      </w:r>
    </w:p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  <w:sz w:val="28"/>
        </w:rPr>
        <w:t>Об утверждении Правил ведения государственного земельного кадастра в Республике Казахстан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Приказ Министра национальной экономики Республики Казахстан от 23 декабря 2014 года № 160. Зарегистрирован в Министерстве юстиции Республики Казахстан 26 января 2015 года № 10147.</w:t>
      </w:r>
    </w:p>
    <w:p>
      <w:pPr>
        <w:spacing w:after="0"/>
        <w:ind w:left="0"/>
        <w:jc w:val="both"/>
      </w:pPr>
      <w:bookmarkStart w:name="z1" w:id="0"/>
      <w:r>
        <w:rPr>
          <w:rFonts w:ascii="Times New Roman"/>
          <w:b w:val="false"/>
          <w:i w:val="false"/>
          <w:color w:val="000000"/>
          <w:sz w:val="28"/>
        </w:rPr>
        <w:t xml:space="preserve">
      В соответствии с подпунктом 16-3) </w:t>
      </w:r>
      <w:r>
        <w:rPr>
          <w:rFonts w:ascii="Times New Roman"/>
          <w:b w:val="false"/>
          <w:i w:val="false"/>
          <w:color w:val="000000"/>
          <w:sz w:val="28"/>
        </w:rPr>
        <w:t>пункта 1</w:t>
      </w:r>
      <w:r>
        <w:rPr>
          <w:rFonts w:ascii="Times New Roman"/>
          <w:b w:val="false"/>
          <w:i w:val="false"/>
          <w:color w:val="000000"/>
          <w:sz w:val="28"/>
        </w:rPr>
        <w:t xml:space="preserve"> статьи 14 Земельного кодекса Республики Казахстан </w:t>
      </w:r>
      <w:r>
        <w:rPr>
          <w:rFonts w:ascii="Times New Roman"/>
          <w:b/>
          <w:i w:val="false"/>
          <w:color w:val="000000"/>
          <w:sz w:val="28"/>
        </w:rPr>
        <w:t>ПРИКАЗЫВАЮ:</w:t>
      </w:r>
    </w:p>
    <w:bookmarkEnd w:id="0"/>
    <w:bookmarkStart w:name="z2" w:id="1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1. Утвердить прилагаемые </w:t>
      </w:r>
      <w:r>
        <w:rPr>
          <w:rFonts w:ascii="Times New Roman"/>
          <w:b w:val="false"/>
          <w:i w:val="false"/>
          <w:color w:val="000000"/>
          <w:sz w:val="28"/>
        </w:rPr>
        <w:t>Правила</w:t>
      </w:r>
      <w:r>
        <w:rPr>
          <w:rFonts w:ascii="Times New Roman"/>
          <w:b w:val="false"/>
          <w:i w:val="false"/>
          <w:color w:val="000000"/>
          <w:sz w:val="28"/>
        </w:rPr>
        <w:t xml:space="preserve"> ведения государственного земельного кадастра в Республике Казахстан.</w:t>
      </w:r>
    </w:p>
    <w:bookmarkEnd w:id="1"/>
    <w:bookmarkStart w:name="z3" w:id="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2. Комитету по делам строительства, жилищно-коммунального хозяйства и управления земельными ресурсами Министерства национальной экономики Республики Казахстан (Смагулову Б.А.) обеспечить в установленном законодательством порядке:</w:t>
      </w:r>
    </w:p>
    <w:bookmarkEnd w:id="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1) государственную регистрацию настоящего приказа в Министерстве юстиции Республики Казахстан;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2) официальное опубликование настоящего приказа в информационно-правовой системе "Әділет" и в средствах массовой информации;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3) размещение настоящего приказа на интернет-ресурсе Министерства национальной экономики Республики Казахстан.</w:t>
      </w:r>
    </w:p>
    <w:bookmarkStart w:name="z4" w:id="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3. Контроль за исполнением настоящего приказа возложить на вице-министра национальной экономики Республики Казахстан Ускенбаева К.А.</w:t>
      </w:r>
    </w:p>
    <w:bookmarkEnd w:id="3"/>
    <w:bookmarkStart w:name="z5" w:id="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4. Настоящий приказ вводится в действие по истечении десяти календарных дней после дня его первого официального опубликования.</w:t>
      </w:r>
    </w:p>
    <w:bookmarkEnd w:id="4"/>
    <w:tbl>
      <w:tblPr>
        <w:tblW w:w="0" w:type="auto"/>
        <w:tblCellSpacing w:w="0" w:type="auto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3590"/>
        <w:gridCol w:w="8710"/>
      </w:tblGrid>
      <w:tr>
        <w:trPr>
          <w:trHeight w:val="30" w:hRule="atLeast"/>
        </w:trPr>
        <w:tc>
          <w:tcPr>
            <w:tcW w:w="359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Министр</w:t>
            </w:r>
          </w:p>
        </w:tc>
        <w:tc>
          <w:tcPr>
            <w:tcW w:w="871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Е. Досаев</w:t>
            </w:r>
          </w:p>
        </w:tc>
      </w:tr>
    </w:tbl>
    <w:p>
      <w:pPr>
        <w:spacing w:after="0"/>
        <w:ind w:left="0"/>
        <w:jc w:val="left"/>
      </w:pP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</w:p>
    <w:tbl>
      <w:tblPr>
        <w:tblW w:w="0" w:type="auto"/>
        <w:tblCellSpacing w:w="0" w:type="auto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7780"/>
        <w:gridCol w:w="4600"/>
      </w:tblGrid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Утверждены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приказом Министра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национальной экономики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Республики Казахстан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от 23 декабря 2014 года № 160</w:t>
            </w:r>
          </w:p>
        </w:tc>
      </w:tr>
    </w:tbl>
    <w:bookmarkStart w:name="z7" w:id="5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Правила</w:t>
      </w:r>
      <w:r>
        <w:br/>
      </w:r>
      <w:r>
        <w:rPr>
          <w:rFonts w:ascii="Times New Roman"/>
          <w:b/>
          <w:i w:val="false"/>
          <w:color w:val="000000"/>
        </w:rPr>
        <w:t>ведения государственного земельного кадастра</w:t>
      </w:r>
      <w:r>
        <w:br/>
      </w:r>
      <w:r>
        <w:rPr>
          <w:rFonts w:ascii="Times New Roman"/>
          <w:b/>
          <w:i w:val="false"/>
          <w:color w:val="000000"/>
        </w:rPr>
        <w:t>в Республике Казахстан</w:t>
      </w:r>
      <w:r>
        <w:br/>
      </w:r>
      <w:r>
        <w:rPr>
          <w:rFonts w:ascii="Times New Roman"/>
          <w:b/>
          <w:i w:val="false"/>
          <w:color w:val="000000"/>
        </w:rPr>
        <w:t>1. Общие положения</w:t>
      </w:r>
    </w:p>
    <w:bookmarkEnd w:id="5"/>
    <w:bookmarkStart w:name="z9" w:id="6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1. Настоящие Правила разработаны в соответствии с </w:t>
      </w:r>
      <w:r>
        <w:rPr>
          <w:rFonts w:ascii="Times New Roman"/>
          <w:b w:val="false"/>
          <w:i w:val="false"/>
          <w:color w:val="000000"/>
          <w:sz w:val="28"/>
        </w:rPr>
        <w:t>Земельным кодексом</w:t>
      </w:r>
      <w:r>
        <w:rPr>
          <w:rFonts w:ascii="Times New Roman"/>
          <w:b w:val="false"/>
          <w:i w:val="false"/>
          <w:color w:val="000000"/>
          <w:sz w:val="28"/>
        </w:rPr>
        <w:t xml:space="preserve"> Республики Казахстан от 20 июня 2003 года (далее - Земельный кодекс) и устанавливают порядок ведения государственного земельного кадастра.</w:t>
      </w:r>
    </w:p>
    <w:bookmarkEnd w:id="6"/>
    <w:bookmarkStart w:name="z10" w:id="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2. Государственный земельный кадастр в Республике Казахстан (далее - Кадастр) ведется с целью обеспечения государственных органов, физических и юридических лиц информацией о земле и отдельных земельных участках.</w:t>
      </w:r>
    </w:p>
    <w:bookmarkEnd w:id="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Деятельность по ведению Кадастра относится к государственной монополии и осуществляется Государственной корпорацией "Правительство для граждан", ведущей государственный земельный кадастр (далее - Государственная корпорация).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К деятельности, технологически связанной с ведением Кадастра, относятся: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1) установление на местности границ административно-территориальных единиц, особо охраняемых природных территорий, земель государственного лесного и водного фондов;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2) составление проектов по образованию и упорядочению землепользовании, проектов рекультивации нарушаемых земель, установление границ земельных участков на местности;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3) разработка проектов внутрихозяйственного землеустройства по земельным участкам, находящимся в государственной собственности и предоставленным в землепользование для ведения сельскохозяйственного производства;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4) проведение инвентаризации земель.</w:t>
      </w:r>
    </w:p>
    <w:p>
      <w:pPr>
        <w:spacing w:after="0"/>
        <w:ind w:left="0"/>
        <w:jc w:val="left"/>
      </w:pP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ff0000"/>
          <w:sz w:val="28"/>
        </w:rPr>
        <w:t xml:space="preserve">      Сноска. Пункт 2 в редакции приказа Министра национальной экономики РК от 22.12.2015 </w:t>
      </w:r>
      <w:r>
        <w:rPr>
          <w:rFonts w:ascii="Times New Roman"/>
          <w:b w:val="false"/>
          <w:i w:val="false"/>
          <w:color w:val="000000"/>
          <w:sz w:val="28"/>
        </w:rPr>
        <w:t>№ 782</w:t>
      </w:r>
      <w:r>
        <w:rPr>
          <w:rFonts w:ascii="Times New Roman"/>
          <w:b w:val="false"/>
          <w:i w:val="false"/>
          <w:color w:val="ff0000"/>
          <w:sz w:val="28"/>
        </w:rPr>
        <w:t xml:space="preserve"> (вводится в действие с 01.03.2016).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</w:p>
    <w:bookmarkStart w:name="z11" w:id="8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 3. В соответствии с </w:t>
      </w:r>
      <w:r>
        <w:rPr>
          <w:rFonts w:ascii="Times New Roman"/>
          <w:b w:val="false"/>
          <w:i w:val="false"/>
          <w:color w:val="000000"/>
          <w:sz w:val="28"/>
        </w:rPr>
        <w:t>частью 7</w:t>
      </w:r>
      <w:r>
        <w:rPr>
          <w:rFonts w:ascii="Times New Roman"/>
          <w:b w:val="false"/>
          <w:i w:val="false"/>
          <w:color w:val="000000"/>
          <w:sz w:val="28"/>
        </w:rPr>
        <w:t xml:space="preserve"> статьи 152 Земельного кодекса, единицей учета и хранения данных Кадастра является земельный участок, выделенный в замкнутых границах, закрепляемый в установленном порядке за субъектами земельных правоотношений.</w:t>
      </w:r>
    </w:p>
    <w:bookmarkEnd w:id="8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В Кадастре для каждого земельного участка фиксируются идентификационные характеристики, позволяющие однозначно выделить его в пространстве, определить размеры и местоположение, а также кадастровая оценочная стоимость участка.</w:t>
      </w:r>
    </w:p>
    <w:bookmarkStart w:name="z12" w:id="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4. В состав Кадастра включается информация о собственниках земельных участков и землепользователях.</w:t>
      </w:r>
    </w:p>
    <w:bookmarkEnd w:id="9"/>
    <w:bookmarkStart w:name="z13" w:id="1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5. Сведения о земельных участках соотносятся с земельно-кадастровыми картами, на которых отражаются закрепленный за данным участком номер, местонахождение, границы и текстовые описания.</w:t>
      </w:r>
    </w:p>
    <w:bookmarkEnd w:id="10"/>
    <w:bookmarkStart w:name="z14" w:id="11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6. Формирование сведений государственного земельного кадастра обеспечивается проведением </w:t>
      </w:r>
      <w:r>
        <w:rPr>
          <w:rFonts w:ascii="Times New Roman"/>
          <w:b w:val="false"/>
          <w:i w:val="false"/>
          <w:color w:val="000000"/>
          <w:sz w:val="28"/>
        </w:rPr>
        <w:t>топографо-геодезических</w:t>
      </w:r>
      <w:r>
        <w:rPr>
          <w:rFonts w:ascii="Times New Roman"/>
          <w:b w:val="false"/>
          <w:i w:val="false"/>
          <w:color w:val="000000"/>
          <w:sz w:val="28"/>
        </w:rPr>
        <w:t xml:space="preserve">, аэрокосмических, </w:t>
      </w:r>
      <w:r>
        <w:rPr>
          <w:rFonts w:ascii="Times New Roman"/>
          <w:b w:val="false"/>
          <w:i w:val="false"/>
          <w:color w:val="000000"/>
          <w:sz w:val="28"/>
        </w:rPr>
        <w:t>картографических</w:t>
      </w:r>
      <w:r>
        <w:rPr>
          <w:rFonts w:ascii="Times New Roman"/>
          <w:b w:val="false"/>
          <w:i w:val="false"/>
          <w:color w:val="000000"/>
          <w:sz w:val="28"/>
        </w:rPr>
        <w:t xml:space="preserve">, </w:t>
      </w:r>
      <w:r>
        <w:rPr>
          <w:rFonts w:ascii="Times New Roman"/>
          <w:b w:val="false"/>
          <w:i w:val="false"/>
          <w:color w:val="000000"/>
          <w:sz w:val="28"/>
        </w:rPr>
        <w:t>землеустроительных работ</w:t>
      </w:r>
      <w:r>
        <w:rPr>
          <w:rFonts w:ascii="Times New Roman"/>
          <w:b w:val="false"/>
          <w:i w:val="false"/>
          <w:color w:val="000000"/>
          <w:sz w:val="28"/>
        </w:rPr>
        <w:t xml:space="preserve">, почвенных, геоботанических обследований и изысканий, работ по </w:t>
      </w:r>
      <w:r>
        <w:rPr>
          <w:rFonts w:ascii="Times New Roman"/>
          <w:b w:val="false"/>
          <w:i w:val="false"/>
          <w:color w:val="000000"/>
          <w:sz w:val="28"/>
        </w:rPr>
        <w:t>мониторингу</w:t>
      </w:r>
      <w:r>
        <w:rPr>
          <w:rFonts w:ascii="Times New Roman"/>
          <w:b w:val="false"/>
          <w:i w:val="false"/>
          <w:color w:val="000000"/>
          <w:sz w:val="28"/>
        </w:rPr>
        <w:t xml:space="preserve"> земель, количественного и качественного учета земель, составлением земельно-кадастрового </w:t>
      </w:r>
      <w:r>
        <w:rPr>
          <w:rFonts w:ascii="Times New Roman"/>
          <w:b w:val="false"/>
          <w:i w:val="false"/>
          <w:color w:val="000000"/>
          <w:sz w:val="28"/>
        </w:rPr>
        <w:t>дела</w:t>
      </w:r>
      <w:r>
        <w:rPr>
          <w:rFonts w:ascii="Times New Roman"/>
          <w:b w:val="false"/>
          <w:i w:val="false"/>
          <w:color w:val="000000"/>
          <w:sz w:val="28"/>
        </w:rPr>
        <w:t xml:space="preserve"> на конкретный земельный участок, изготовлением земельно-кадастровых карт, идентификационного документа на земельный участок, земельно-кадастрового </w:t>
      </w:r>
      <w:r>
        <w:rPr>
          <w:rFonts w:ascii="Times New Roman"/>
          <w:b w:val="false"/>
          <w:i w:val="false"/>
          <w:color w:val="000000"/>
          <w:sz w:val="28"/>
        </w:rPr>
        <w:t>плана</w:t>
      </w:r>
      <w:r>
        <w:rPr>
          <w:rFonts w:ascii="Times New Roman"/>
          <w:b w:val="false"/>
          <w:i w:val="false"/>
          <w:color w:val="000000"/>
          <w:sz w:val="28"/>
        </w:rPr>
        <w:t>.</w:t>
      </w:r>
    </w:p>
    <w:bookmarkEnd w:id="11"/>
    <w:bookmarkStart w:name="z15" w:id="1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7. Накопление данных производится на уровне соответствующих областей, города республиканского значения, столицы, районов, городов областного значения, где фиксируется и хранится информация о кадастровом номере земельного участка, наименовании физических или юридических лиц - субъектов прав на земельные участки, актах исполнительных органов и иных предусмотренных законодательством документах, местонахождении и размере, кадастровой (оценочной) стоимости земельного участка, праве на земельный участок, целевом назначении, делимости и неделимости, сервитутах на земельный участок, а также об ограничениях по его использованию, установленных исполнительными органами.</w:t>
      </w:r>
    </w:p>
    <w:bookmarkEnd w:id="1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Указанные данные систематизируются по формам собственности, </w:t>
      </w:r>
      <w:r>
        <w:rPr>
          <w:rFonts w:ascii="Times New Roman"/>
          <w:b w:val="false"/>
          <w:i w:val="false"/>
          <w:color w:val="000000"/>
          <w:sz w:val="28"/>
        </w:rPr>
        <w:t>категориям земель</w:t>
      </w:r>
      <w:r>
        <w:rPr>
          <w:rFonts w:ascii="Times New Roman"/>
          <w:b w:val="false"/>
          <w:i w:val="false"/>
          <w:color w:val="000000"/>
          <w:sz w:val="28"/>
        </w:rPr>
        <w:t>, позволяющим сопоставить их между собой по областям, городу республиканского значения, столице, районам, городам областного значения и территории Республики Казахстан в целом.</w:t>
      </w:r>
    </w:p>
    <w:bookmarkStart w:name="z16" w:id="13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2. Порядок ведения Кадастра</w:t>
      </w:r>
    </w:p>
    <w:bookmarkEnd w:id="13"/>
    <w:bookmarkStart w:name="z17" w:id="1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8. Ведение Кадастра на всей территории Республики Казахстан осуществляется по единой системе и представляет собой последовательные действия по сбору, документированию, накоплению, обработке, учету и хранению сведений о земельных участках.</w:t>
      </w:r>
    </w:p>
    <w:bookmarkEnd w:id="14"/>
    <w:bookmarkStart w:name="z18" w:id="1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9. Картографической основой Кадастра являются земельно-кадастровые карты, которые обеспечивают возможность отображения и внесения изменений линейных и площадных характеристик земельных участков.</w:t>
      </w:r>
    </w:p>
    <w:bookmarkEnd w:id="1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Масштаб земельно-кадастровых карт выбирается в зависимости от размера учетных единиц и уровня ведения Кадастра.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При автоматизированном ведении Кадастра картографическая основа формируется в виде электронной карты с применением геоинформационных технологий и изготовлением копий на бумажных носителях.</w:t>
      </w:r>
    </w:p>
    <w:bookmarkStart w:name="z19" w:id="16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10. Информация о земельных участках систематически обновляется при изменении границ и площадей участков и земельных угодий.</w:t>
      </w:r>
    </w:p>
    <w:bookmarkEnd w:id="16"/>
    <w:bookmarkStart w:name="z20" w:id="1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11. Земельно-кадастровые дела на земельные участки, предоставляемые из земель, находящихся в государственной собственности, заводятся Государственной корпорацией, на основании решений местных исполнительных органов областей, города республиканского значения, столицы, районов, городов областного значения, акимов городов районного значения, поселков, сел, сельских округов, землеустроительного проекта о предоставлении права на землю, утвержденного уполномоченным органом по земельным отношениям областей, города республиканского значения, столицы, районов, городов областного значения в соответствии с его компетенцией, установленной Земельным кодексом Республики Казахстан, и материалов по установлению границ земельного участка.</w:t>
      </w:r>
    </w:p>
    <w:bookmarkEnd w:id="17"/>
    <w:p>
      <w:pPr>
        <w:spacing w:after="0"/>
        <w:ind w:left="0"/>
        <w:jc w:val="left"/>
      </w:pP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ff0000"/>
          <w:sz w:val="28"/>
        </w:rPr>
        <w:t xml:space="preserve">      Сноска. Пункт 11 в редакции приказа Министра национальной экономики РК от 22.12.2015 </w:t>
      </w:r>
      <w:r>
        <w:rPr>
          <w:rFonts w:ascii="Times New Roman"/>
          <w:b w:val="false"/>
          <w:i w:val="false"/>
          <w:color w:val="000000"/>
          <w:sz w:val="28"/>
        </w:rPr>
        <w:t>№ 782</w:t>
      </w:r>
      <w:r>
        <w:rPr>
          <w:rFonts w:ascii="Times New Roman"/>
          <w:b w:val="false"/>
          <w:i w:val="false"/>
          <w:color w:val="ff0000"/>
          <w:sz w:val="28"/>
        </w:rPr>
        <w:t xml:space="preserve"> (вводится в действие с 01.03.2016).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</w:p>
    <w:bookmarkStart w:name="z21" w:id="18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 12. Формирование участка из земель, находящихся в частной собственности граждан или негосударственных юридических лиц, при совершении сделки с частью делимого земельного участка производится на основании их заявлений о разделе делимого земельного участка, подаваемых в уполномоченный орган по земельным отношениям областей, городов республиканского значения, столицы, районов, городов областного значения по месту нахождения земельного участка.</w:t>
      </w:r>
    </w:p>
    <w:bookmarkEnd w:id="18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К заявлению прилагаются документы о праве частной собственности на земельный участок.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На образованные в результате раздела земельные участки заводятся новые земельно-кадастровые дела на основании землеустроительного проекта о разделе земельного участка, утвержденного уполномоченным органом по земельным отношениям областей, городов республиканского значения, столицы, районов, городов областного значения, городов районного значения, поселков, сел, сельских округов, в соответствии с его компетенцией, установленной </w:t>
      </w:r>
      <w:r>
        <w:rPr>
          <w:rFonts w:ascii="Times New Roman"/>
          <w:b w:val="false"/>
          <w:i w:val="false"/>
          <w:color w:val="000000"/>
          <w:sz w:val="28"/>
        </w:rPr>
        <w:t>статьей 14-1</w:t>
      </w:r>
      <w:r>
        <w:rPr>
          <w:rFonts w:ascii="Times New Roman"/>
          <w:b w:val="false"/>
          <w:i w:val="false"/>
          <w:color w:val="000000"/>
          <w:sz w:val="28"/>
        </w:rPr>
        <w:t xml:space="preserve"> Земельного кодекса Республики Казахстан, и материалов по установлению границ земельного участка, а ранее заведенное земельно-кадастровое дело на делимый земельный участок хранится в архиве Государственной корпорации.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На сформированные в результате раздела земельные участки Государственной корпорацией, изготавливаются и выдаются новые идентификационные документы.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В случае, если на земельный участок был изготовлен земельно-кадастровый план, выдаются новые земельно-кадастровые планы.</w:t>
      </w:r>
    </w:p>
    <w:p>
      <w:pPr>
        <w:spacing w:after="0"/>
        <w:ind w:left="0"/>
        <w:jc w:val="left"/>
      </w:pP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ff0000"/>
          <w:sz w:val="28"/>
        </w:rPr>
        <w:t xml:space="preserve">      Сноска. Пункт 12 в редакции приказа Министра национальной экономики РК от 22.12.2015 </w:t>
      </w:r>
      <w:r>
        <w:rPr>
          <w:rFonts w:ascii="Times New Roman"/>
          <w:b w:val="false"/>
          <w:i w:val="false"/>
          <w:color w:val="000000"/>
          <w:sz w:val="28"/>
        </w:rPr>
        <w:t>№ 782</w:t>
      </w:r>
      <w:r>
        <w:rPr>
          <w:rFonts w:ascii="Times New Roman"/>
          <w:b w:val="false"/>
          <w:i w:val="false"/>
          <w:color w:val="ff0000"/>
          <w:sz w:val="28"/>
        </w:rPr>
        <w:t xml:space="preserve"> (вводится в действие с 01.03.2016).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</w:p>
    <w:bookmarkStart w:name="z22" w:id="1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 13. При переходе прав на земельный участок в результате осуществления гражданско-правовых сделок либо по иным основаниям, предусмотренным законодательством Республики Казахстан, идентификационный документ передается приобретателю или иному правообладателю.</w:t>
      </w:r>
    </w:p>
    <w:bookmarkEnd w:id="1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В случае отсутствия изменений идентификационных характеристик земельного участка Государственной корпорацией, новый идентификационный документ (земельно-кадастровый план) не выдается, а вносится запись о правообладателе в земельно-кадастровую книгу и в единый государственный реестр земель.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Внесение в учетные данные земельного участка сведений о переходе права собственности на земельный участок или права землепользования производится на основании материалов, предоставляемых им органом, осуществляющим государственную регистрацию прав на недвижимое имущество.</w:t>
      </w:r>
    </w:p>
    <w:p>
      <w:pPr>
        <w:spacing w:after="0"/>
        <w:ind w:left="0"/>
        <w:jc w:val="left"/>
      </w:pP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ff0000"/>
          <w:sz w:val="28"/>
        </w:rPr>
        <w:t xml:space="preserve">      Сноска. Пункт 13 в редакции приказа Министра национальной экономики РК от 22.12.2015 </w:t>
      </w:r>
      <w:r>
        <w:rPr>
          <w:rFonts w:ascii="Times New Roman"/>
          <w:b w:val="false"/>
          <w:i w:val="false"/>
          <w:color w:val="000000"/>
          <w:sz w:val="28"/>
        </w:rPr>
        <w:t>№ 782</w:t>
      </w:r>
      <w:r>
        <w:rPr>
          <w:rFonts w:ascii="Times New Roman"/>
          <w:b w:val="false"/>
          <w:i w:val="false"/>
          <w:color w:val="ff0000"/>
          <w:sz w:val="28"/>
        </w:rPr>
        <w:t xml:space="preserve"> (вводится в действие с 01.03.2016).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</w:p>
    <w:bookmarkStart w:name="z23" w:id="2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 14. При выкупе физическим или негосударственным юридическим лицом в частную собственность земельного участка, ранее предоставленного ему в землепользование, новое земельно-кадастровое дело не заводится.</w:t>
      </w:r>
    </w:p>
    <w:bookmarkEnd w:id="2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На основании справки о наличии заключенного договора купли-продажи земельного участка, произведенной оплате его выкупной цены, а также наложении запрета на совершение сделок (за исключением передачи в залог) при продаже земельного участка в рассрочку, выдаваемой уполномоченным органом по земельным отношениям областей, города республиканского значения, столицы, районов, городов областного значения по местонахождению земельного участка, Государственной корпорацией, изготавливается и выдается новый идентификационный документ на земельный участок.</w:t>
      </w:r>
    </w:p>
    <w:p>
      <w:pPr>
        <w:spacing w:after="0"/>
        <w:ind w:left="0"/>
        <w:jc w:val="left"/>
      </w:pP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ff0000"/>
          <w:sz w:val="28"/>
        </w:rPr>
        <w:t xml:space="preserve">      Сноска. Пункт 14 в редакции приказа Министра национальной экономики РК от 22.12.2015 </w:t>
      </w:r>
      <w:r>
        <w:rPr>
          <w:rFonts w:ascii="Times New Roman"/>
          <w:b w:val="false"/>
          <w:i w:val="false"/>
          <w:color w:val="000000"/>
          <w:sz w:val="28"/>
        </w:rPr>
        <w:t>№ 782</w:t>
      </w:r>
      <w:r>
        <w:rPr>
          <w:rFonts w:ascii="Times New Roman"/>
          <w:b w:val="false"/>
          <w:i w:val="false"/>
          <w:color w:val="ff0000"/>
          <w:sz w:val="28"/>
        </w:rPr>
        <w:t xml:space="preserve"> (вводится в действие с 01.03.2016).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</w:p>
    <w:bookmarkStart w:name="z24" w:id="21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 15. При формировании земельного участка для государственных нужд из земель, находящихся в собственности или землепользовании граждан и юридических лиц, в заводимое на него земельно-кадастровое дело помещается решение исполнительного органа либо решение суда об изъятии земельного участка для государственных нужд, которые являются основанием для формирования нового участка, а также план (чертеж границ) и другие документы.</w:t>
      </w:r>
    </w:p>
    <w:bookmarkEnd w:id="21"/>
    <w:bookmarkStart w:name="z25" w:id="2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16. В случае изъятия части земельного участка, совершаемого для государственных нужд, новое земельно-кадастровое дело не заводится.</w:t>
      </w:r>
    </w:p>
    <w:bookmarkEnd w:id="2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Все документы, сопутствующие процессу реорганизации земельного участка, помещаются в земельно-кадастровое дело, заведенное ранее на данный участок.</w:t>
      </w:r>
    </w:p>
    <w:bookmarkStart w:name="z26" w:id="2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17. При слиянии нескольких земельных участков в один заводится новое кадастровое дело, в которое помещаются кадастровые дела, ранее заведенные на эти участки.</w:t>
      </w:r>
    </w:p>
    <w:bookmarkEnd w:id="2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На сформированный в результате объединения земельный участок изготавливается новый идентификационный документ.</w:t>
      </w:r>
    </w:p>
    <w:bookmarkStart w:name="z27" w:id="2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18. В земельно-кадастровое </w:t>
      </w:r>
      <w:r>
        <w:rPr>
          <w:rFonts w:ascii="Times New Roman"/>
          <w:b w:val="false"/>
          <w:i w:val="false"/>
          <w:color w:val="000000"/>
          <w:sz w:val="28"/>
        </w:rPr>
        <w:t>дело</w:t>
      </w:r>
      <w:r>
        <w:rPr>
          <w:rFonts w:ascii="Times New Roman"/>
          <w:b w:val="false"/>
          <w:i w:val="false"/>
          <w:color w:val="000000"/>
          <w:sz w:val="28"/>
        </w:rPr>
        <w:t xml:space="preserve"> земельного участка, подлежащего принудительному изъятию либо конфискации у граждан и юридических лиц, помещаются документы судебно-исполнительного производства.</w:t>
      </w:r>
    </w:p>
    <w:bookmarkEnd w:id="24"/>
    <w:bookmarkStart w:name="z28" w:id="2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19. После формирования земельно-кадастрового дела сведения о земельном участке вносятся в земельно-кадастровую </w:t>
      </w:r>
      <w:r>
        <w:rPr>
          <w:rFonts w:ascii="Times New Roman"/>
          <w:b w:val="false"/>
          <w:i w:val="false"/>
          <w:color w:val="000000"/>
          <w:sz w:val="28"/>
        </w:rPr>
        <w:t>книгу</w:t>
      </w:r>
      <w:r>
        <w:rPr>
          <w:rFonts w:ascii="Times New Roman"/>
          <w:b w:val="false"/>
          <w:i w:val="false"/>
          <w:color w:val="000000"/>
          <w:sz w:val="28"/>
        </w:rPr>
        <w:t xml:space="preserve"> и единый государственный реестр земель.</w:t>
      </w:r>
    </w:p>
    <w:bookmarkEnd w:id="2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Единый государственный реестр земель является итоговым документом учета земельных участков в составе Кадастра, содержащим правовые, идентификационные, экономические и другие характеристики.</w:t>
      </w:r>
    </w:p>
    <w:bookmarkStart w:name="z29" w:id="26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20. Земельно-кадастровая книга является документом, в котором учитываются земельные участки, содержатся достоверные сведения о пространственном, природном и хозяйственном положении земель.</w:t>
      </w:r>
    </w:p>
    <w:bookmarkEnd w:id="26"/>
    <w:bookmarkStart w:name="z30" w:id="2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21. Земельно-кадастровая карта земель создается и ведется в целях наглядного отображения местоположения, размеров и границ земельных участков, учета их изменений при объединении и разделении.</w:t>
      </w:r>
    </w:p>
    <w:bookmarkEnd w:id="2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Ведение земельно-кадастровых карт для Кадастра и учета земельных участков осуществляется в порядке, предусмотренном пунктами </w:t>
      </w:r>
      <w:r>
        <w:rPr>
          <w:rFonts w:ascii="Times New Roman"/>
          <w:b w:val="false"/>
          <w:i w:val="false"/>
          <w:color w:val="000000"/>
          <w:sz w:val="28"/>
        </w:rPr>
        <w:t>42</w:t>
      </w:r>
      <w:r>
        <w:rPr>
          <w:rFonts w:ascii="Times New Roman"/>
          <w:b w:val="false"/>
          <w:i w:val="false"/>
          <w:color w:val="000000"/>
          <w:sz w:val="28"/>
        </w:rPr>
        <w:t xml:space="preserve">, </w:t>
      </w:r>
      <w:r>
        <w:rPr>
          <w:rFonts w:ascii="Times New Roman"/>
          <w:b w:val="false"/>
          <w:i w:val="false"/>
          <w:color w:val="000000"/>
          <w:sz w:val="28"/>
        </w:rPr>
        <w:t>44</w:t>
      </w:r>
      <w:r>
        <w:rPr>
          <w:rFonts w:ascii="Times New Roman"/>
          <w:b w:val="false"/>
          <w:i w:val="false"/>
          <w:color w:val="000000"/>
          <w:sz w:val="28"/>
        </w:rPr>
        <w:t xml:space="preserve"> и </w:t>
      </w:r>
      <w:r>
        <w:rPr>
          <w:rFonts w:ascii="Times New Roman"/>
          <w:b w:val="false"/>
          <w:i w:val="false"/>
          <w:color w:val="000000"/>
          <w:sz w:val="28"/>
        </w:rPr>
        <w:t>45</w:t>
      </w:r>
      <w:r>
        <w:rPr>
          <w:rFonts w:ascii="Times New Roman"/>
          <w:b w:val="false"/>
          <w:i w:val="false"/>
          <w:color w:val="000000"/>
          <w:sz w:val="28"/>
        </w:rPr>
        <w:t xml:space="preserve"> настоящих Правил.</w:t>
      </w:r>
    </w:p>
    <w:bookmarkStart w:name="z31" w:id="28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22. Кадастр ведется на бумажных носителях, а также с использованием электронных систем сбора, обработки и хранения информации.</w:t>
      </w:r>
    </w:p>
    <w:bookmarkEnd w:id="28"/>
    <w:bookmarkStart w:name="z32" w:id="2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23. Автоматизированные информационные системы Кадастра создаются на базе специализированных программно-технических комплексов.</w:t>
      </w:r>
    </w:p>
    <w:bookmarkEnd w:id="29"/>
    <w:bookmarkStart w:name="z33" w:id="3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24. Земельно-кадастровая документация соответствует следующим требованиям:</w:t>
      </w:r>
    </w:p>
    <w:bookmarkEnd w:id="3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исполняется на бланках установленного образца с заполнением всех реквизитов (наименование органа, учреждения, организации, их издавшего, дату, номер документа, указание адресата (получателя документа);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изготовление планов (чертежей) границ земельных участков осуществляется в соответствии с техническими требованиями;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сведения, содержащиеся на планах (чертежах) земельных участков, отнесенные к государственной тайне, используются и хранятся в соответствии с </w:t>
      </w:r>
      <w:r>
        <w:rPr>
          <w:rFonts w:ascii="Times New Roman"/>
          <w:b w:val="false"/>
          <w:i w:val="false"/>
          <w:color w:val="000000"/>
          <w:sz w:val="28"/>
        </w:rPr>
        <w:t>Законом</w:t>
      </w:r>
      <w:r>
        <w:rPr>
          <w:rFonts w:ascii="Times New Roman"/>
          <w:b w:val="false"/>
          <w:i w:val="false"/>
          <w:color w:val="000000"/>
          <w:sz w:val="28"/>
        </w:rPr>
        <w:t xml:space="preserve"> Республики Казахстан "О государственных секретах" от 15 марта 1999 года.</w:t>
      </w:r>
    </w:p>
    <w:bookmarkStart w:name="z34" w:id="31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3. Порядок ведения количественного и качественного учета и</w:t>
      </w:r>
      <w:r>
        <w:br/>
      </w:r>
      <w:r>
        <w:rPr>
          <w:rFonts w:ascii="Times New Roman"/>
          <w:b/>
          <w:i w:val="false"/>
          <w:color w:val="000000"/>
        </w:rPr>
        <w:t>оценки земель</w:t>
      </w:r>
    </w:p>
    <w:bookmarkEnd w:id="31"/>
    <w:bookmarkStart w:name="z35" w:id="3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25. Кадастровому учету подлежат земельные участки, расположенные на территории Республики Казахстан, независимо от форм собственности на землю, целевого назначения и разрешенного характера использования земельных участков.</w:t>
      </w:r>
    </w:p>
    <w:bookmarkEnd w:id="3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Кадастровый учет земельных участков проводится по месту их нахождения, по единой методике.</w:t>
      </w:r>
    </w:p>
    <w:bookmarkStart w:name="z36" w:id="3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26. Учет количества и качества земель ведется по их фактическому состоянию и использованию, а также по результатам работ по </w:t>
      </w:r>
      <w:r>
        <w:rPr>
          <w:rFonts w:ascii="Times New Roman"/>
          <w:b w:val="false"/>
          <w:i w:val="false"/>
          <w:color w:val="000000"/>
          <w:sz w:val="28"/>
        </w:rPr>
        <w:t>мониторингу</w:t>
      </w:r>
      <w:r>
        <w:rPr>
          <w:rFonts w:ascii="Times New Roman"/>
          <w:b w:val="false"/>
          <w:i w:val="false"/>
          <w:color w:val="000000"/>
          <w:sz w:val="28"/>
        </w:rPr>
        <w:t xml:space="preserve"> земель.</w:t>
      </w:r>
    </w:p>
    <w:bookmarkEnd w:id="3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Все изменения фиксируются после того, как они произошли на местности.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Учет качества земель включает их экономическую оценку и ведение мониторинга земель, проведение почвенных, геоботанических, агрохимических обследований и бонитировки почв.</w:t>
      </w:r>
    </w:p>
    <w:bookmarkStart w:name="z37" w:id="3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27. Данные учета земель заносятся в земельно-кадастровую </w:t>
      </w:r>
      <w:r>
        <w:rPr>
          <w:rFonts w:ascii="Times New Roman"/>
          <w:b w:val="false"/>
          <w:i w:val="false"/>
          <w:color w:val="000000"/>
          <w:sz w:val="28"/>
        </w:rPr>
        <w:t>книгу</w:t>
      </w:r>
      <w:r>
        <w:rPr>
          <w:rFonts w:ascii="Times New Roman"/>
          <w:b w:val="false"/>
          <w:i w:val="false"/>
          <w:color w:val="000000"/>
          <w:sz w:val="28"/>
        </w:rPr>
        <w:t xml:space="preserve"> и единый государственный реестр земель по каждому земельному участку.</w:t>
      </w:r>
    </w:p>
    <w:bookmarkEnd w:id="3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Учетные данные формируются по земельным участкам, поселкам и сельским населенным пунктам, городам районного значения, городам областного значения, районам, столице, городу республиканского значения, областям.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При этом выделяются участки, занятые особо охраняемыми природными и историко-культурными объектами.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Учету подлежат земли всех категорий, и он ведется по видам земельных угодий.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Необходимые сведения о размерах, местоположении, количестве и качестве земель фиксируются при их первичном учете, а происходящие изменения в составе земель, их качестве и виде использования выявляются в процессе ведения текущего учета земель.</w:t>
      </w:r>
    </w:p>
    <w:bookmarkStart w:name="z38" w:id="3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28. В целях уточнения и обновления Кадастровых данных:</w:t>
      </w:r>
    </w:p>
    <w:bookmarkEnd w:id="3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1) собственники земельных участков и землепользователи, уполномоченные должностные лица и местные исполнительные органы в соответствующих административно-территориальных единицах (сел, поселков, городов районного значения) ежегодно представляют уполномоченному органу по земельным отношениям городов республиканского значения, столицы, районов, городов областного значения соответственно сведения о состоянии и использовании земель, отчеты по формам утверждаемым в соответствии с подпунктом 8 </w:t>
      </w:r>
      <w:r>
        <w:rPr>
          <w:rFonts w:ascii="Times New Roman"/>
          <w:b w:val="false"/>
          <w:i w:val="false"/>
          <w:color w:val="000000"/>
          <w:sz w:val="28"/>
        </w:rPr>
        <w:t>статьи 12</w:t>
      </w:r>
      <w:r>
        <w:rPr>
          <w:rFonts w:ascii="Times New Roman"/>
          <w:b w:val="false"/>
          <w:i w:val="false"/>
          <w:color w:val="000000"/>
          <w:sz w:val="28"/>
        </w:rPr>
        <w:t xml:space="preserve"> Закона Республики Казахстан "О государственной статистике" от 19 марта 2010 года (далее - Закон "О государственной статистике") уполномоченным органом в области государственной статистики, о происходящих изменениях в составе земель, находящихся в собственности и землепользовании, а также в ведении акимов соответствующих административно-территориальных единиц (сел, поселков, городов районного значения) по состоянию на 1 ноября отчетного года.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Уполномоченный орган по земельным отношениям города республиканского значения, столицы, районов, городов областного значения рассматривает и утверждает представленные отчеты и направляет их в Государственную корпорацию, для внесения произошедших изменений в земельно-кадастровую книгу и единый государственный реестр земель;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2) Уполномоченные органы по земельным отношениям областей, городов республиканского значения, столицы, районов, городов областного значения составляют ежегодные отчеты о наличии земель и распределении их по категориям, собственникам земельных участков, землепользователям и угодьям (балансы земель), по состоянию на 1 ноября отчетного года, по формам, утверждаемым в соответствии с подпунктом 8 </w:t>
      </w:r>
      <w:r>
        <w:rPr>
          <w:rFonts w:ascii="Times New Roman"/>
          <w:b w:val="false"/>
          <w:i w:val="false"/>
          <w:color w:val="000000"/>
          <w:sz w:val="28"/>
        </w:rPr>
        <w:t>статьи 12</w:t>
      </w:r>
      <w:r>
        <w:rPr>
          <w:rFonts w:ascii="Times New Roman"/>
          <w:b w:val="false"/>
          <w:i w:val="false"/>
          <w:color w:val="000000"/>
          <w:sz w:val="28"/>
        </w:rPr>
        <w:t xml:space="preserve"> Закона "О государственной статистике" уполномоченным органом в области государственной статистики.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Ведомство центрального уполномоченного органа по управлению земельными ресурсами на основании данных балансов земель областей (города республиканского значения, столицы) составляет баланс земель Республики Казахстан.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Государственная корпорация, один раз в 5 лет составляет отчеты о качественном состоянии земель областей, городов республиканского значения, столицы, районов, городов областного значения, областям и в целом по Республике Казахстан.</w:t>
      </w:r>
    </w:p>
    <w:p>
      <w:pPr>
        <w:spacing w:after="0"/>
        <w:ind w:left="0"/>
        <w:jc w:val="left"/>
      </w:pP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ff0000"/>
          <w:sz w:val="28"/>
        </w:rPr>
        <w:t xml:space="preserve">      Сноска. Пункт 28 в редакции приказа Министра национальной экономики РК от 22.12.2015 </w:t>
      </w:r>
      <w:r>
        <w:rPr>
          <w:rFonts w:ascii="Times New Roman"/>
          <w:b w:val="false"/>
          <w:i w:val="false"/>
          <w:color w:val="000000"/>
          <w:sz w:val="28"/>
        </w:rPr>
        <w:t>№ 782</w:t>
      </w:r>
      <w:r>
        <w:rPr>
          <w:rFonts w:ascii="Times New Roman"/>
          <w:b w:val="false"/>
          <w:i w:val="false"/>
          <w:color w:val="ff0000"/>
          <w:sz w:val="28"/>
        </w:rPr>
        <w:t xml:space="preserve"> (вводится в действие с 01.03.2016).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</w:p>
    <w:bookmarkStart w:name="z39" w:id="36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 29. Отчеты о наличии земель, распределении их по категориям, собственникам земельных участков, землепользователям и угодьям (балансы земель) составляются в соответствии с пунктом 28 настоящих Правил:</w:t>
      </w:r>
    </w:p>
    <w:bookmarkEnd w:id="36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по району и городу областного значения - уполномоченным органом по земельным отношениям районов и городов областного значения и не позднее 1 ноября отчетного года представляются областному уполномоченному органу по земельным отношениям;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по области, городу республиканского значения и столице - уполномоченным органом по земельным отношениям области, города республиканского значения, столицы на основании данных районов и городов областного значения и не позднее 20 ноября отчетного года представляются ведомству центрального уполномоченного органа по управлению земельными ресурсами.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Копии сводного аналитического отчета о наличии, качественном состоянии и использовании земель Республики Казахстан направляются уполномоченному государственному органу в области развития агропромышленного комплекса и уполномоченному органу в области охраны окружающей среды.</w:t>
      </w:r>
    </w:p>
    <w:bookmarkStart w:name="z40" w:id="3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30. Учет качества и кадастровая оценка земель производится в целях:</w:t>
      </w:r>
    </w:p>
    <w:bookmarkEnd w:id="3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определения эффективности использования земельного участка с учетом целевого назначения;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определения цены земельного участка (плата за продажу права аренды на земельный участок) при продаже их в частную собственность;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налогообложения;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определения судом выкупной цены и размеров выплат при принудительном изъятии земельного участка для государственных нужд и в случае реквизиции.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Сведения о качестве земель и их кадастровой оценке отражаются в земельно-кадастровой </w:t>
      </w:r>
      <w:r>
        <w:rPr>
          <w:rFonts w:ascii="Times New Roman"/>
          <w:b w:val="false"/>
          <w:i w:val="false"/>
          <w:color w:val="000000"/>
          <w:sz w:val="28"/>
        </w:rPr>
        <w:t>книге</w:t>
      </w:r>
      <w:r>
        <w:rPr>
          <w:rFonts w:ascii="Times New Roman"/>
          <w:b w:val="false"/>
          <w:i w:val="false"/>
          <w:color w:val="000000"/>
          <w:sz w:val="28"/>
        </w:rPr>
        <w:t xml:space="preserve"> по каждому земельному участку.</w:t>
      </w:r>
    </w:p>
    <w:bookmarkStart w:name="z41" w:id="38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4. Учет земельных участков для целей регистрации</w:t>
      </w:r>
    </w:p>
    <w:bookmarkEnd w:id="38"/>
    <w:bookmarkStart w:name="z42" w:id="3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31. В соответствии с </w:t>
      </w:r>
      <w:r>
        <w:rPr>
          <w:rFonts w:ascii="Times New Roman"/>
          <w:b w:val="false"/>
          <w:i w:val="false"/>
          <w:color w:val="000000"/>
          <w:sz w:val="28"/>
        </w:rPr>
        <w:t>пунктом 1</w:t>
      </w:r>
      <w:r>
        <w:rPr>
          <w:rFonts w:ascii="Times New Roman"/>
          <w:b w:val="false"/>
          <w:i w:val="false"/>
          <w:color w:val="000000"/>
          <w:sz w:val="28"/>
        </w:rPr>
        <w:t xml:space="preserve"> статьи 154 Земельного кодекса, учет земельных участков и находящегося на них недвижимого имущества является необходимым условием, обеспечивающим государственную </w:t>
      </w:r>
      <w:r>
        <w:rPr>
          <w:rFonts w:ascii="Times New Roman"/>
          <w:b w:val="false"/>
          <w:i w:val="false"/>
          <w:color w:val="000000"/>
          <w:sz w:val="28"/>
        </w:rPr>
        <w:t>регистрацию</w:t>
      </w:r>
      <w:r>
        <w:rPr>
          <w:rFonts w:ascii="Times New Roman"/>
          <w:b w:val="false"/>
          <w:i w:val="false"/>
          <w:color w:val="000000"/>
          <w:sz w:val="28"/>
        </w:rPr>
        <w:t xml:space="preserve"> прав собственности (обременении прав) и других прав на недвижимое имущество.</w:t>
      </w:r>
    </w:p>
    <w:bookmarkEnd w:id="39"/>
    <w:bookmarkStart w:name="z43" w:id="4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32. При учете земельных участков, фиксации подлежат следующие данные:</w:t>
      </w:r>
    </w:p>
    <w:bookmarkEnd w:id="4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имя собственника или пользователя земельного участка;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площадь земельного участка;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форма собственности на земельный участок;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целевое назначение земельного участка;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ограничения в использовании и обременения земельного участка;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делимость или неделимость земельного участка;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кадастровый номер земельного участка.</w:t>
      </w:r>
    </w:p>
    <w:bookmarkStart w:name="z44" w:id="41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33. При ведении земельного кадастра каждому земельному участку, в целях определения (идентификации), присваивается кадастровый номер, индивидуальный, не повторяющийся на территории Республики Казахстан, который сохраняется, пока участок существует как единое целое, таким же номером идентифицируется и </w:t>
      </w:r>
      <w:r>
        <w:rPr>
          <w:rFonts w:ascii="Times New Roman"/>
          <w:b w:val="false"/>
          <w:i w:val="false"/>
          <w:color w:val="000000"/>
          <w:sz w:val="28"/>
        </w:rPr>
        <w:t>земельно-кадастровое дело</w:t>
      </w:r>
      <w:r>
        <w:rPr>
          <w:rFonts w:ascii="Times New Roman"/>
          <w:b w:val="false"/>
          <w:i w:val="false"/>
          <w:color w:val="000000"/>
          <w:sz w:val="28"/>
        </w:rPr>
        <w:t>.</w:t>
      </w:r>
    </w:p>
    <w:bookmarkEnd w:id="41"/>
    <w:bookmarkStart w:name="z45" w:id="4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34. Физические и юридические лица для присвоения кадастрового номера земельному участку и замены идентификационного документа на земельный участок старого образца на новый обращаются с заявлением в Государственную корпорацию, по местонахождению земельного участка.</w:t>
      </w:r>
    </w:p>
    <w:bookmarkEnd w:id="4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К заявлению прилагается оригинал имеющегося идентификационного документа на земельный участок.</w:t>
      </w:r>
    </w:p>
    <w:p>
      <w:pPr>
        <w:spacing w:after="0"/>
        <w:ind w:left="0"/>
        <w:jc w:val="left"/>
      </w:pP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ff0000"/>
          <w:sz w:val="28"/>
        </w:rPr>
        <w:t xml:space="preserve">      Сноска. Пункт 34 в редакции приказа Министра национальной экономики РК от 22.12.2015 </w:t>
      </w:r>
      <w:r>
        <w:rPr>
          <w:rFonts w:ascii="Times New Roman"/>
          <w:b w:val="false"/>
          <w:i w:val="false"/>
          <w:color w:val="000000"/>
          <w:sz w:val="28"/>
        </w:rPr>
        <w:t>№ 782</w:t>
      </w:r>
      <w:r>
        <w:rPr>
          <w:rFonts w:ascii="Times New Roman"/>
          <w:b w:val="false"/>
          <w:i w:val="false"/>
          <w:color w:val="ff0000"/>
          <w:sz w:val="28"/>
        </w:rPr>
        <w:t xml:space="preserve"> (вводится в действие с 01.03.2016).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</w:p>
    <w:bookmarkStart w:name="z46" w:id="4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 35. Проведение работ по идентификации земельного участка, отражение его на земельно-кадастровой карте начинается с определения в натуре фактических границ этого участка, наличия имеющихся ограничений и обременении, установления характера прав других лиц, а также целевого использования.</w:t>
      </w:r>
    </w:p>
    <w:bookmarkEnd w:id="43"/>
    <w:bookmarkStart w:name="z47" w:id="4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36. По результатам работ по идентификации земельного участка Государственная корпорация, присваивает земельному участку кадастровый номер, делает соответствующую отметку на документе старого образца и выдает его заявителю.</w:t>
      </w:r>
    </w:p>
    <w:bookmarkEnd w:id="4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По желанию заявителя осуществляется замена документа о праве на земельный участок старого образца на новый идентификационный документ.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В земельно-кадастровой книге, кадастровом деле и государственном реестре земель производится соответствующая запись.</w:t>
      </w:r>
    </w:p>
    <w:p>
      <w:pPr>
        <w:spacing w:after="0"/>
        <w:ind w:left="0"/>
        <w:jc w:val="left"/>
      </w:pP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ff0000"/>
          <w:sz w:val="28"/>
        </w:rPr>
        <w:t xml:space="preserve">      Сноска. Пункт 36 в редакции приказа Министра национальной экономики РК от 22.12.2015 </w:t>
      </w:r>
      <w:r>
        <w:rPr>
          <w:rFonts w:ascii="Times New Roman"/>
          <w:b w:val="false"/>
          <w:i w:val="false"/>
          <w:color w:val="000000"/>
          <w:sz w:val="28"/>
        </w:rPr>
        <w:t>№ 782</w:t>
      </w:r>
      <w:r>
        <w:rPr>
          <w:rFonts w:ascii="Times New Roman"/>
          <w:b w:val="false"/>
          <w:i w:val="false"/>
          <w:color w:val="ff0000"/>
          <w:sz w:val="28"/>
        </w:rPr>
        <w:t xml:space="preserve"> (вводится в действие с 01.03.2016).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</w:p>
    <w:bookmarkStart w:name="z48" w:id="4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 37. Построение кадастрового номера определяется:</w:t>
      </w:r>
    </w:p>
    <w:bookmarkEnd w:id="4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кодом области или города республиканского значения, столицы;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кодом района или города областного, районного значения;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кодом учетного квартала (квартал населенного пункта, рабочие поселки и сельские населенные пункты, садоводческие и дачные общества, колочные леса, линейные объекты (железные, автомобильные дороги, наземные, надземные и подземные трубопроводы с полосами отвода, водоемы и другие));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порядковым номером земельного участка в учетном квартале.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Примечание. Две первые цифры кадастрового номера земельного участка обозначают код области или городов республиканского значения, столицы, три последующие - код района или города областного (районного) значения, еще три последующих - код учетного квартала и три последних цифры порядковый номер земельного участка внутри учетного квартала.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В случае если количество земельных участков внутри учетного квартала превышает число 999, то последующим земельным участкам, формируемым внутри этого учетного квартала присваивается четырехзначный порядковый номер.</w:t>
      </w:r>
    </w:p>
    <w:bookmarkStart w:name="z49" w:id="46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38. Коды учетных кварталов и кадастровые номера земельным участкам внутри учетных кварталов и (или) районов, городов областного (районного) значения, города республиканского значения, столицы присваиваются Государственной корпорацией.</w:t>
      </w:r>
    </w:p>
    <w:bookmarkEnd w:id="46"/>
    <w:p>
      <w:pPr>
        <w:spacing w:after="0"/>
        <w:ind w:left="0"/>
        <w:jc w:val="left"/>
      </w:pP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ff0000"/>
          <w:sz w:val="28"/>
        </w:rPr>
        <w:t xml:space="preserve">      Сноска. Пункт 38 в редакции приказа Министра национальной экономики РК от 22.12.2015 </w:t>
      </w:r>
      <w:r>
        <w:rPr>
          <w:rFonts w:ascii="Times New Roman"/>
          <w:b w:val="false"/>
          <w:i w:val="false"/>
          <w:color w:val="000000"/>
          <w:sz w:val="28"/>
        </w:rPr>
        <w:t>№ 782</w:t>
      </w:r>
      <w:r>
        <w:rPr>
          <w:rFonts w:ascii="Times New Roman"/>
          <w:b w:val="false"/>
          <w:i w:val="false"/>
          <w:color w:val="ff0000"/>
          <w:sz w:val="28"/>
        </w:rPr>
        <w:t xml:space="preserve"> (вводится в действие с 01.03.2016).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</w:p>
    <w:bookmarkStart w:name="z50" w:id="4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 39. Если присвоение кода учетному кварталу в соответствии с настоящими Правилами по объективным причинам не представляется возможным, то земельным участкам внутри данного квартала присваиваются временные (условные) кадастровые номера.</w:t>
      </w:r>
    </w:p>
    <w:bookmarkEnd w:id="4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В этом случае код такого квартала начинается с цифры "9", что указывает на условное обозначение кадастрового номера в конкретном учетном квартале.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При последующем определении юридического квартала ему присваивается истинный код с указанием условного номера, который был присвоен ранее.</w:t>
      </w:r>
    </w:p>
    <w:bookmarkStart w:name="z51" w:id="48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40. При делении земельного участка на несколько частей или слиянии нескольких земельных участков в один старые номера аннулируются и присваиваются новые кадастровые номера.</w:t>
      </w:r>
    </w:p>
    <w:bookmarkEnd w:id="48"/>
    <w:bookmarkStart w:name="z52" w:id="4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41. При переходе права собственности или права землепользования на весь земельный участок к другому собственнику или землепользователю кадастровый номер земельного участка не меняется.</w:t>
      </w:r>
    </w:p>
    <w:bookmarkEnd w:id="49"/>
    <w:bookmarkStart w:name="z53" w:id="5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42. В зависимости от уровня ведения Кадастра создаются и содержатся в контрольном состоянии:</w:t>
      </w:r>
    </w:p>
    <w:bookmarkEnd w:id="5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земельно-кадастровая карта (схема) Республики Казахстан с отображением границ и кодов областей, городов республиканского значения и столицы;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земельно-кадастровая карта (схема) области с отображением границ и кодов районов и городов областного и районного значения;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земельно-кадастровая карта города республиканского значения, столицы с отображением границ и кодов районов внутри города;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земельно-кадастровая карта (схема) района, города областного, города районного значения с отображением границ и кодов учетных кварталов;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земельно-кадастровая карта (схема) учетного квартала с отображением границ и кадастровых номеров земельных участков.</w:t>
      </w:r>
    </w:p>
    <w:bookmarkStart w:name="z54" w:id="51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43. Границы земельных участков на земельно-кадастровой карте (схеме) показываются в соответствии с идентификационными документами на земельные участки, и планами землепользования в масштабе карты (схемы).</w:t>
      </w:r>
    </w:p>
    <w:bookmarkEnd w:id="51"/>
    <w:bookmarkStart w:name="z55" w:id="5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44. Земельно-кадастровые карты (схемы) могут быть изготовлены в нескольких частях.</w:t>
      </w:r>
    </w:p>
    <w:bookmarkEnd w:id="52"/>
    <w:bookmarkStart w:name="z56" w:id="5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45. Ведение и последующее обновление земельно-кадастровых карт (схем) осуществляются Государственной корпорацией.</w:t>
      </w:r>
    </w:p>
    <w:bookmarkEnd w:id="53"/>
    <w:p>
      <w:pPr>
        <w:spacing w:after="0"/>
        <w:ind w:left="0"/>
        <w:jc w:val="left"/>
      </w:pP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ff0000"/>
          <w:sz w:val="28"/>
        </w:rPr>
        <w:t xml:space="preserve">      Сноска. Пункт 45 в редакции приказа Министра национальной экономики РК от 22.12.2015 </w:t>
      </w:r>
      <w:r>
        <w:rPr>
          <w:rFonts w:ascii="Times New Roman"/>
          <w:b w:val="false"/>
          <w:i w:val="false"/>
          <w:color w:val="000000"/>
          <w:sz w:val="28"/>
        </w:rPr>
        <w:t>№ 782</w:t>
      </w:r>
      <w:r>
        <w:rPr>
          <w:rFonts w:ascii="Times New Roman"/>
          <w:b w:val="false"/>
          <w:i w:val="false"/>
          <w:color w:val="ff0000"/>
          <w:sz w:val="28"/>
        </w:rPr>
        <w:t xml:space="preserve"> (вводится в действие с 01.03.2016).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</w:p>
    <w:p>
      <w:pPr>
        <w:spacing w:after="0"/>
        <w:ind w:left="0"/>
        <w:jc w:val="left"/>
      </w:pPr>
      <w:r>
        <w:br/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				</w:t>
      </w:r>
    </w:p>
    <w:p>
      <w:pPr>
        <w:pStyle w:val="disclaimer"/>
      </w:pPr>
      <w:r>
        <w:rPr>
          <w:rFonts w:ascii="Times New Roman"/>
          <w:b w:val="false"/>
          <w:i w:val="false"/>
          <w:color w:val="000000"/>
        </w:rPr>
        <w:t>
					© 2012. РГП на ПХВ «Институт законодательства и правовой информации Республики Казахстан» Министерства юстиции Республики Казахстан
				</w:t>
      </w:r>
    </w:p>
    <w:sectPr>
      <w:pgSz w:w="11907" w:h="16839" w:code="9"/>
      <w:pgMar w:top="1440" w:right="1080" w:bottom="1440" w:left="1080"/>
    </w:sectPr>
  </w:body>
</w:document>
</file>

<file path=word/numbering.xml><?xml version="1.0" encoding="utf-8"?>
<w:numbering xmlns:w="http://schemas.openxmlformats.org/wordprocessingml/2006/main" xmlns:w15="http://schemas.microsoft.com/office/word/2012/wordml" xmlns:r="http://schemas.openxmlformats.org/officeDocument/2006/relationships" xmlns:m="http://schemas.openxmlformats.org/officeDocument/2006/math" xmlns:w14="http://schemas.microsoft.com/office/word/2010/wordml" xmlns:wp="http://schemas.openxmlformats.org/drawingml/2006/wordprocessingDrawing" xmlns:a="http://schemas.openxmlformats.org/drawingml/2006/main" xmlns:ns8="http://schemas.openxmlformats.org/schemaLibrary/2006/main" xmlns:mc="http://schemas.openxmlformats.org/markup-compatibility/2006" xmlns:wne="http://schemas.microsoft.com/office/word/2006/wordml" xmlns:c="http://schemas.openxmlformats.org/drawingml/2006/chart" xmlns:ns12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v="urn:schemas-microsoft-com:vml" xmlns:o="urn:schemas-microsoft-com:office:office" xmlns:ns19="urn:schemas-microsoft-com:office:excel" xmlns:w10="urn:schemas-microsoft-com:office:word" xmlns:ns21="urn:schemas-microsoft-com:office:powerpoint" xmlns:ns23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ns30="http://schemas.openxmlformats.org/officeDocument/2006/bibliography" xmlns:ns31="http://schemas.openxmlformats.org/drawingml/2006/compatibility" xmlns:ns32="http://schemas.openxmlformats.org/drawingml/2006/lockedCanvas"/>
</file>

<file path=word/styles.xml><?xml version="1.0" encoding="utf-8"?>
<w:styles xmlns:w="http://schemas.openxmlformats.org/wordprocessingml/2006/main" xmlns:w15="http://schemas.microsoft.com/office/word/2012/wordml" xmlns:r="http://schemas.openxmlformats.org/officeDocument/2006/relationships" xmlns:m="http://schemas.openxmlformats.org/officeDocument/2006/math" xmlns:w14="http://schemas.microsoft.com/office/word/2010/wordml" xmlns:wp="http://schemas.openxmlformats.org/drawingml/2006/wordprocessingDrawing" xmlns:a="http://schemas.openxmlformats.org/drawingml/2006/main" xmlns:ns8="http://schemas.openxmlformats.org/schemaLibrary/2006/main" xmlns:mc="http://schemas.openxmlformats.org/markup-compatibility/2006" xmlns:wne="http://schemas.microsoft.com/office/word/2006/wordml" xmlns:c="http://schemas.openxmlformats.org/drawingml/2006/chart" xmlns:ns12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v="urn:schemas-microsoft-com:vml" xmlns:o="urn:schemas-microsoft-com:office:office" xmlns:ns19="urn:schemas-microsoft-com:office:excel" xmlns:w10="urn:schemas-microsoft-com:office:word" xmlns:ns21="urn:schemas-microsoft-com:office:powerpoint" xmlns:ns23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ns30="http://schemas.openxmlformats.org/officeDocument/2006/bibliography" xmlns:ns31="http://schemas.openxmlformats.org/drawingml/2006/compatibility" xmlns:ns32="http://schemas.openxmlformats.org/drawingml/2006/lockedCanvas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false" w:defUIPriority="99" w:defSemiHidden="true" w:defUnhideWhenUsed="true" w:defQFormat="false" w:count="267">
    <w:lsdException w:name="Normal" w:uiPriority="0" w:semiHidden="false" w:unhideWhenUsed="false" w:qFormat="true"/>
    <w:lsdException w:name="heading 1" w:uiPriority="9" w:semiHidden="false" w:unhideWhenUsed="false" w:qFormat="true"/>
    <w:lsdException w:name="heading 2" w:uiPriority="9" w:qFormat="true"/>
    <w:lsdException w:name="heading 3" w:uiPriority="9" w:qFormat="true"/>
    <w:lsdException w:name="heading 4" w:uiPriority="9" w:qFormat="true"/>
    <w:lsdException w:name="Title" w:uiPriority="10" w:semiHidden="false" w:unhideWhenUsed="false" w:qFormat="true"/>
    <w:lsdException w:name="Default Paragraph Font" w:uiPriority="1"/>
    <w:lsdException w:name="Subtitle" w:uiPriority="11" w:semiHidden="false" w:unhideWhenUsed="false" w:qFormat="true"/>
    <w:lsdException w:name="Emphasis" w:uiPriority="20" w:semiHidden="false" w:unhideWhenUsed="false" w:qFormat="true"/>
    <w:lsdException w:name="Table Grid" w:uiPriority="59" w:semiHidden="false" w:unhideWhenUsed="false"/>
  </w:latentStyles>
  <w:style w:type="paragraph" w:styleId="Normal" w:default="true">
    <w:name w:val="Normal"/>
    <w:basedOn w:val="DocDefaults"/>
    <w:qFormat/>
    <w:rsid w:val="004A3277"/>
    <w:rPr>
      <w:rFonts w:ascii="Times New Roman" w:hAnsi="Times New Roman" w:eastAsia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="Times New Roman" w:hAnsi="Times New Roman" w:eastAsia="Times New Roman" w:cs="Times New Roma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="Times New Roman" w:hAnsi="Times New Roman" w:eastAsia="Times New Roman" w:cs="Times New Roman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="Times New Roman" w:hAnsi="Times New Roman" w:eastAsia="Times New Roman" w:cs="Times New Roman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="Times New Roman" w:hAnsi="Times New Roman" w:eastAsia="Times New Roman" w:cs="Times New Roman"/>
    </w:rPr>
  </w:style>
  <w:style w:type="character" w:styleId="DefaultParagraphFont" w:default="true">
    <w:name w:val="Default Paragraph Font"/>
    <w:uiPriority w:val="1"/>
    <w:semiHidden/>
    <w:unhideWhenUsed/>
    <w:rPr>
      <w:rFonts w:ascii="Times New Roman" w:hAnsi="Times New Roman" w:eastAsia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  <w:rPr>
      <w:rFonts w:ascii="Times New Roman" w:hAnsi="Times New Roman" w:eastAsia="Times New Roman" w:cs="Times New Roman"/>
    </w:rPr>
  </w:style>
  <w:style w:type="character" w:styleId="HeaderChar" w:customStyle="true">
    <w:name w:val="Header Char"/>
    <w:basedOn w:val="DefaultParagraphFont"/>
    <w:link w:val="Header"/>
    <w:uiPriority w:val="99"/>
    <w:rsid w:val="00841CD9"/>
    <w:rPr>
      <w:rFonts w:ascii="Times New Roman" w:hAnsi="Times New Roman" w:eastAsia="Times New Roman" w:cs="Times New Roman"/>
    </w:rPr>
  </w:style>
  <w:style w:type="character" w:styleId="Heading1Char" w:customStyle="true">
    <w:name w:val="Heading 1 Char"/>
    <w:basedOn w:val="DefaultParagraphFont"/>
    <w:link w:val="Heading1"/>
    <w:uiPriority w:val="9"/>
    <w:rsid w:val="00841CD9"/>
    <w:rPr>
      <w:rFonts w:ascii="Times New Roman" w:hAnsi="Times New Roman" w:eastAsia="Times New Roman" w:cs="Times New Roman"/>
    </w:rPr>
  </w:style>
  <w:style w:type="character" w:styleId="Heading2Char" w:customStyle="true">
    <w:name w:val="Heading 2 Char"/>
    <w:basedOn w:val="DefaultParagraphFont"/>
    <w:link w:val="Heading2"/>
    <w:uiPriority w:val="9"/>
    <w:rsid w:val="00841CD9"/>
    <w:rPr>
      <w:rFonts w:ascii="Times New Roman" w:hAnsi="Times New Roman" w:eastAsia="Times New Roman" w:cs="Times New Roman"/>
    </w:rPr>
  </w:style>
  <w:style w:type="character" w:styleId="Heading3Char" w:customStyle="true">
    <w:name w:val="Heading 3 Char"/>
    <w:basedOn w:val="DefaultParagraphFont"/>
    <w:link w:val="Heading3"/>
    <w:uiPriority w:val="9"/>
    <w:rsid w:val="00841CD9"/>
    <w:rPr>
      <w:rFonts w:ascii="Times New Roman" w:hAnsi="Times New Roman" w:eastAsia="Times New Roman" w:cs="Times New Roman"/>
    </w:rPr>
  </w:style>
  <w:style w:type="character" w:styleId="Heading4Char" w:customStyle="true">
    <w:name w:val="Heading 4 Char"/>
    <w:basedOn w:val="DefaultParagraphFont"/>
    <w:link w:val="Heading4"/>
    <w:uiPriority w:val="9"/>
    <w:rsid w:val="00841CD9"/>
    <w:rPr>
      <w:rFonts w:ascii="Times New Roman" w:hAnsi="Times New Roman" w:eastAsia="Times New Roman" w:cs="Times New Roman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  <w:rPr>
      <w:rFonts w:ascii="Times New Roman" w:hAnsi="Times New Roman" w:eastAsia="Times New Roman" w:cs="Times New Roman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="Times New Roman" w:hAnsi="Times New Roman" w:eastAsia="Times New Roman" w:cs="Times New Roman"/>
    </w:rPr>
  </w:style>
  <w:style w:type="character" w:styleId="SubtitleChar" w:customStyle="true">
    <w:name w:val="Subtitle Char"/>
    <w:basedOn w:val="DefaultParagraphFont"/>
    <w:link w:val="Subtitle"/>
    <w:uiPriority w:val="11"/>
    <w:rsid w:val="00841CD9"/>
    <w:rPr>
      <w:rFonts w:ascii="Times New Roman" w:hAnsi="Times New Roman" w:eastAsia="Times New Roman" w:cs="Times New Roman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color="4F81BD" w:themeColor="accent1" w:sz="8" w:space="4"/>
      </w:pBdr>
      <w:spacing w:after="300"/>
      <w:contextualSpacing/>
    </w:pPr>
    <w:rPr>
      <w:rFonts w:ascii="Times New Roman" w:hAnsi="Times New Roman" w:eastAsia="Times New Roman" w:cs="Times New Roman"/>
    </w:rPr>
  </w:style>
  <w:style w:type="character" w:styleId="TitleChar" w:customStyle="true">
    <w:name w:val="Title Char"/>
    <w:basedOn w:val="DefaultParagraphFont"/>
    <w:link w:val="Title"/>
    <w:uiPriority w:val="10"/>
    <w:rsid w:val="00841CD9"/>
    <w:rPr>
      <w:rFonts w:ascii="Times New Roman" w:hAnsi="Times New Roman" w:eastAsia="Times New Roman" w:cs="Times New Roman"/>
    </w:rPr>
  </w:style>
  <w:style w:type="character" w:styleId="Emphasis">
    <w:name w:val="Emphasis"/>
    <w:basedOn w:val="DefaultParagraphFont"/>
    <w:uiPriority w:val="20"/>
    <w:qFormat/>
    <w:rsid w:val="00D1197D"/>
    <w:rPr>
      <w:rFonts w:ascii="Times New Roman" w:hAnsi="Times New Roman" w:eastAsia="Times New Roman" w:cs="Times New Roman"/>
    </w:rPr>
  </w:style>
  <w:style w:type="character" w:styleId="Hyperlink">
    <w:name w:val="Hyperlink"/>
    <w:basedOn w:val="DefaultParagraphFont"/>
    <w:uiPriority w:val="99"/>
    <w:unhideWhenUsed/>
    <w:rPr>
      <w:rFonts w:ascii="Times New Roman" w:hAnsi="Times New Roman" w:eastAsia="Times New Roman" w:cs="Times New Roman"/>
    </w:rPr>
  </w:style>
  <w:style w:type="table" w:styleId="TableGrid">
    <w:name w:val="Table Grid"/>
    <w:basedOn w:val="TableNormal"/>
    <w:uiPriority w:val="59"/>
    <w:pPr>
      <w:spacing w:after="0" w:line="240" w:lineRule="auto"/>
    </w:pPr>
    <w:rPr>
      <w:rFonts w:ascii="Times New Roman" w:hAnsi="Times New Roman" w:eastAsia="Times New Roman" w:cs="Times New Roman"/>
    </w:r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Normal" w:default="true">
    <w:name w:val="Normal Table"/>
    <w:uiPriority w:val="99"/>
    <w:semiHidden/>
    <w:unhideWhenUsed/>
    <w:qFormat/>
    <w:rPr>
      <w:rFonts w:ascii="Times New Roman" w:hAnsi="Times New Roman" w:eastAsia="Times New Roman" w:cs="Times New Roman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rFonts w:ascii="Times New Roman" w:hAnsi="Times New Roman" w:eastAsia="Times New Roman" w:cs="Times New Roman"/>
    </w:rPr>
  </w:style>
  <w:style w:type="paragraph" w:styleId="disclaimer">
    <w:name w:val="disclaimer"/>
    <w:basedOn w:val="Normal"/>
    <w:pPr>
      <w:jc w:val="center"/>
    </w:pPr>
    <w:rPr>
      <w:sz w:val="18"/>
      <w:szCs w:val="18"/>
    </w:rPr>
  </w:style>
  <w:style w:type="paragraph" w:styleId="DocDefaults">
    <w:name w:val="DocDefaults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</w:styles>
</file>

<file path=word/_rels/document.xml.rels><?xml version="1.0" encoding="UTF-8" standalone="yes"?><Relationships xmlns="http://schemas.openxmlformats.org/package/2006/relationships"><Relationship Target="styles.xml" Type="http://schemas.openxmlformats.org/officeDocument/2006/relationships/styles" Id="rId1"/><Relationship Target="numbering.xml" Type="http://schemas.openxmlformats.org/officeDocument/2006/relationships/numbering" Id="rId2"/><Relationship Target="media/document_image_rId3.png" Type="http://schemas.openxmlformats.org/officeDocument/2006/relationships/image" Id="rId3"/></Relationships>
</file>

<file path=docProps/app.xml><?xml version="1.0" encoding="utf-8"?>
<properties:Properties xmlns:propertie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terms="http://purl.org/dc/terms/" xmlns:dc="http://purl.org/dc/elements/1.1/"/>
</file>