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Лекция 2. Описание функциональной схемы </w:t>
      </w:r>
      <w:r w:rsidR="007B0DC3">
        <w:rPr>
          <w:color w:val="000000"/>
          <w:sz w:val="26"/>
          <w:szCs w:val="26"/>
        </w:rPr>
        <w:t>технологического процесса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3907" w:rsidRDefault="00BB3907">
      <w:r>
        <w:separator/>
      </w:r>
    </w:p>
  </w:endnote>
  <w:endnote w:type="continuationSeparator" w:id="1">
    <w:p w:rsidR="00BB3907" w:rsidRDefault="00BB3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AA183A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7B0DC3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3907" w:rsidRDefault="00BB3907">
      <w:r>
        <w:separator/>
      </w:r>
    </w:p>
  </w:footnote>
  <w:footnote w:type="continuationSeparator" w:id="1">
    <w:p w:rsidR="00BB3907" w:rsidRDefault="00BB39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3708B5"/>
    <w:rsid w:val="00691CE0"/>
    <w:rsid w:val="007553B6"/>
    <w:rsid w:val="007B0DC3"/>
    <w:rsid w:val="009459C1"/>
    <w:rsid w:val="00AA183A"/>
    <w:rsid w:val="00AA6AA8"/>
    <w:rsid w:val="00BB3907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2020-09-06T12:46:00Z</dcterms:modified>
</cp:coreProperties>
</file>