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A71" w:rsidRDefault="000F2A71" w:rsidP="000F2A71">
      <w:pPr>
        <w:pStyle w:val="a3"/>
        <w:ind w:left="720" w:firstLine="0"/>
        <w:jc w:val="center"/>
        <w:rPr>
          <w:b/>
        </w:rPr>
      </w:pPr>
      <w:r w:rsidRPr="008A21E2">
        <w:rPr>
          <w:b/>
        </w:rPr>
        <w:t>7.3 Температурный коэффициент удельного сопроти</w:t>
      </w:r>
      <w:r w:rsidRPr="008A21E2">
        <w:rPr>
          <w:b/>
        </w:rPr>
        <w:t>в</w:t>
      </w:r>
      <w:r w:rsidRPr="008A21E2">
        <w:rPr>
          <w:b/>
        </w:rPr>
        <w:t>ления</w:t>
      </w:r>
    </w:p>
    <w:p w:rsidR="000F2A71" w:rsidRPr="008A21E2" w:rsidRDefault="000F2A71" w:rsidP="000F2A71">
      <w:pPr>
        <w:pStyle w:val="a3"/>
        <w:ind w:left="720" w:firstLine="0"/>
        <w:jc w:val="center"/>
        <w:rPr>
          <w:b/>
        </w:rPr>
      </w:pPr>
    </w:p>
    <w:p w:rsidR="000F2A71" w:rsidRDefault="000F2A71" w:rsidP="000F2A71">
      <w:pPr>
        <w:pStyle w:val="a3"/>
        <w:ind w:firstLine="720"/>
        <w:jc w:val="both"/>
      </w:pPr>
      <w:r>
        <w:t xml:space="preserve">Число носителей зарядов в металлическом проводнике </w:t>
      </w:r>
      <w:r>
        <w:rPr>
          <w:lang w:val="en-US"/>
        </w:rPr>
        <w:t>n</w:t>
      </w:r>
      <w:r>
        <w:t xml:space="preserve"> при повыш</w:t>
      </w:r>
      <w:r>
        <w:t>е</w:t>
      </w:r>
      <w:r>
        <w:t>нии температуры практически остается постоянным. Однако вследствие усилений к</w:t>
      </w:r>
      <w:r>
        <w:t>о</w:t>
      </w:r>
      <w:r>
        <w:t>лебаний узлов кристаллической решетки с ростом</w:t>
      </w:r>
      <w:proofErr w:type="gramStart"/>
      <w:r>
        <w:t xml:space="preserve"> Т</w:t>
      </w:r>
      <w:proofErr w:type="gramEnd"/>
      <w:r>
        <w:t xml:space="preserve"> появляется все больше  препятствий на пути направленного движения электронов т.е. уменьшается средняя длина пробега электрона </w:t>
      </w:r>
      <w:r>
        <w:sym w:font="Symbol" w:char="F06C"/>
      </w:r>
      <w:r>
        <w:t>, уменьшается подвижность электронов и, как следствие, уменьшается удел</w:t>
      </w:r>
      <w:r>
        <w:t>ь</w:t>
      </w:r>
      <w:r>
        <w:t>ная проводимость (7.8).</w:t>
      </w:r>
    </w:p>
    <w:p w:rsidR="000F2A71" w:rsidRDefault="000F2A71" w:rsidP="000F2A71">
      <w:pPr>
        <w:pStyle w:val="a3"/>
        <w:ind w:firstLine="720"/>
        <w:jc w:val="both"/>
      </w:pPr>
      <w:r>
        <w:t>Температурный коэффициент удельного сопротивления (</w:t>
      </w:r>
      <w:r>
        <w:sym w:font="Symbol" w:char="F0B0"/>
      </w:r>
      <w:r>
        <w:t>К-1) определяется по формуле</w:t>
      </w:r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firstLine="720"/>
        <w:jc w:val="both"/>
      </w:pPr>
      <w:r>
        <w:tab/>
      </w:r>
      <w:r>
        <w:tab/>
      </w:r>
      <w:r>
        <w:tab/>
      </w:r>
      <w:r w:rsidRPr="00F4037F">
        <w:rPr>
          <w:position w:val="-32"/>
        </w:rPr>
        <w:object w:dxaOrig="132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75pt;height:38.2pt" o:ole="">
            <v:imagedata r:id="rId5" o:title=""/>
          </v:shape>
          <o:OLEObject Type="Embed" ProgID="Equation.3" ShapeID="_x0000_i1025" DrawAspect="Content" ObjectID="_1450858620" r:id="rId6"/>
        </w:objec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>(7.14)</w:t>
      </w:r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firstLine="720"/>
        <w:jc w:val="both"/>
      </w:pPr>
      <w:r>
        <w:t>На практике при изменении температуры в узких диапазонах используют выражение</w:t>
      </w:r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firstLine="720"/>
        <w:jc w:val="both"/>
      </w:pPr>
      <w:r>
        <w:tab/>
      </w:r>
      <w:r>
        <w:tab/>
      </w:r>
      <w:r>
        <w:tab/>
      </w:r>
      <w:r>
        <w:rPr>
          <w:position w:val="-10"/>
        </w:rPr>
        <w:object w:dxaOrig="2320" w:dyaOrig="340">
          <v:shape id="_x0000_i1026" type="#_x0000_t75" style="width:115.85pt;height:16.9pt" o:ole="">
            <v:imagedata r:id="rId7" o:title=""/>
          </v:shape>
          <o:OLEObject Type="Embed" ProgID="Equation.3" ShapeID="_x0000_i1026" DrawAspect="Content" ObjectID="_1450858621" r:id="rId8"/>
        </w:object>
      </w:r>
      <w:r>
        <w:t xml:space="preserve"> , </w:t>
      </w:r>
      <w:r>
        <w:tab/>
      </w:r>
      <w:r>
        <w:tab/>
      </w:r>
      <w:r>
        <w:tab/>
      </w:r>
      <w:r>
        <w:tab/>
        <w:t>(7.15)</w:t>
      </w:r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firstLine="720"/>
        <w:jc w:val="both"/>
      </w:pPr>
      <w:r>
        <w:t>где</w:t>
      </w:r>
      <w:r>
        <w:rPr>
          <w:i/>
          <w:iCs/>
        </w:rPr>
        <w:t xml:space="preserve"> </w:t>
      </w:r>
      <w:r>
        <w:rPr>
          <w:i/>
          <w:iCs/>
        </w:rPr>
        <w:sym w:font="Symbol" w:char="F072"/>
      </w:r>
      <w:r>
        <w:rPr>
          <w:i/>
          <w:iCs/>
          <w:vertAlign w:val="subscript"/>
        </w:rPr>
        <w:t xml:space="preserve">1  </w:t>
      </w:r>
      <w:r>
        <w:t xml:space="preserve">и </w:t>
      </w:r>
      <w:r>
        <w:rPr>
          <w:i/>
          <w:iCs/>
        </w:rPr>
        <w:sym w:font="Symbol" w:char="F072"/>
      </w:r>
      <w:r>
        <w:rPr>
          <w:i/>
          <w:iCs/>
          <w:vertAlign w:val="subscript"/>
        </w:rPr>
        <w:t>2 –</w:t>
      </w:r>
      <w:r>
        <w:rPr>
          <w:vertAlign w:val="subscript"/>
        </w:rPr>
        <w:t xml:space="preserve"> </w:t>
      </w:r>
      <w:r>
        <w:t>удельные сопротивления проводникового материала при температуре Т</w:t>
      </w:r>
      <w:proofErr w:type="gramStart"/>
      <w:r>
        <w:rPr>
          <w:vertAlign w:val="subscript"/>
        </w:rPr>
        <w:t>1</w:t>
      </w:r>
      <w:proofErr w:type="gramEnd"/>
      <w:r>
        <w:rPr>
          <w:vertAlign w:val="subscript"/>
        </w:rPr>
        <w:t xml:space="preserve"> </w:t>
      </w:r>
      <w:r>
        <w:t>и Т</w:t>
      </w:r>
      <w:r>
        <w:rPr>
          <w:vertAlign w:val="subscript"/>
        </w:rPr>
        <w:t xml:space="preserve">2 </w:t>
      </w:r>
      <w:r>
        <w:t xml:space="preserve"> (Т</w:t>
      </w:r>
      <w:r>
        <w:rPr>
          <w:vertAlign w:val="subscript"/>
        </w:rPr>
        <w:t xml:space="preserve">2 </w:t>
      </w:r>
      <w:r>
        <w:t>&gt; Т</w:t>
      </w:r>
      <w:r>
        <w:rPr>
          <w:vertAlign w:val="subscript"/>
        </w:rPr>
        <w:t>1</w:t>
      </w:r>
      <w:r>
        <w:t xml:space="preserve">); </w:t>
      </w:r>
      <w:r>
        <w:rPr>
          <w:position w:val="-10"/>
        </w:rPr>
        <w:object w:dxaOrig="380" w:dyaOrig="300">
          <v:shape id="_x0000_i1027" type="#_x0000_t75" style="width:18.8pt;height:15.05pt" o:ole="">
            <v:imagedata r:id="rId9" o:title=""/>
          </v:shape>
          <o:OLEObject Type="Embed" ProgID="Equation.3" ShapeID="_x0000_i1027" DrawAspect="Content" ObjectID="_1450858622" r:id="rId10"/>
        </w:object>
      </w:r>
      <w:r>
        <w:t xml:space="preserve"> средний температурный коэффициент удельного с</w:t>
      </w:r>
      <w:r>
        <w:t>о</w:t>
      </w:r>
      <w:r>
        <w:t>противления.</w:t>
      </w:r>
    </w:p>
    <w:p w:rsidR="000F2A71" w:rsidRDefault="000F2A71" w:rsidP="000F2A71">
      <w:pPr>
        <w:pStyle w:val="a3"/>
        <w:ind w:firstLine="720"/>
        <w:jc w:val="both"/>
        <w:rPr>
          <w:lang w:val="ru-MO"/>
        </w:rPr>
      </w:pPr>
    </w:p>
    <w:p w:rsidR="000F2A71" w:rsidRDefault="000F2A71" w:rsidP="000F2A71">
      <w:pPr>
        <w:pStyle w:val="a3"/>
        <w:ind w:firstLine="720"/>
        <w:jc w:val="both"/>
      </w:pPr>
      <w:r>
        <w:t xml:space="preserve">При переходе из твердого состояния в жидкое у большинства металлов наблюдается увеличение ρ, как видно, например, для меди  на рисунке 31. </w:t>
      </w:r>
      <w:proofErr w:type="gramStart"/>
      <w:r>
        <w:t>Удельное сопротивление увеличивается у тех металлов, у которых при плавлении увеличивается объем, т.е. уменьшается пло</w:t>
      </w:r>
      <w:r>
        <w:t>т</w:t>
      </w:r>
      <w:r>
        <w:t>ность, и, наоборот, у металлов (галлий, висмут), уменьшающих свой объем при плавлении, уменьшае</w:t>
      </w:r>
      <w:r>
        <w:t>т</w:t>
      </w:r>
      <w:r>
        <w:t>ся.</w:t>
      </w:r>
      <w:proofErr w:type="gramEnd"/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firstLine="720"/>
        <w:jc w:val="center"/>
      </w:pPr>
      <w:r>
        <w:rPr>
          <w:noProof/>
        </w:rPr>
        <w:drawing>
          <wp:inline distT="0" distB="0" distL="0" distR="0">
            <wp:extent cx="2345690" cy="17970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69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firstLine="720"/>
        <w:jc w:val="center"/>
      </w:pPr>
      <w:r>
        <w:t xml:space="preserve">Рисунок 31 </w:t>
      </w:r>
      <w:r>
        <w:sym w:font="Symbol" w:char="F02D"/>
      </w:r>
      <w:r>
        <w:t xml:space="preserve">  Зависимость </w:t>
      </w:r>
      <w:r>
        <w:rPr>
          <w:position w:val="-10"/>
        </w:rPr>
        <w:object w:dxaOrig="1219" w:dyaOrig="360">
          <v:shape id="_x0000_i1028" type="#_x0000_t75" style="width:60.75pt;height:18.15pt" o:ole="">
            <v:imagedata r:id="rId12" o:title=""/>
          </v:shape>
          <o:OLEObject Type="Embed" ProgID="Equation.3" ShapeID="_x0000_i1028" DrawAspect="Content" ObjectID="_1450858623" r:id="rId13"/>
        </w:object>
      </w:r>
      <w:r>
        <w:t xml:space="preserve"> для меди. Скачок соответствует температуре плавления 1083</w:t>
      </w:r>
      <w:proofErr w:type="gramStart"/>
      <w:r>
        <w:t>°С</w:t>
      </w:r>
      <w:proofErr w:type="gramEnd"/>
    </w:p>
    <w:p w:rsidR="000F2A71" w:rsidRDefault="000F2A71" w:rsidP="000F2A71">
      <w:pPr>
        <w:pStyle w:val="a3"/>
        <w:ind w:firstLine="720"/>
        <w:jc w:val="both"/>
      </w:pPr>
      <w:r>
        <w:lastRenderedPageBreak/>
        <w:tab/>
      </w:r>
    </w:p>
    <w:p w:rsidR="000F2A71" w:rsidRDefault="000F2A71" w:rsidP="000F2A71">
      <w:pPr>
        <w:pStyle w:val="a3"/>
        <w:ind w:left="720" w:firstLine="0"/>
        <w:jc w:val="center"/>
        <w:rPr>
          <w:b/>
        </w:rPr>
      </w:pPr>
      <w:r w:rsidRPr="00A20C4E">
        <w:rPr>
          <w:b/>
        </w:rPr>
        <w:t>7.4 Влияние  примесей на удельное сопротивление м</w:t>
      </w:r>
      <w:r w:rsidRPr="00A20C4E">
        <w:rPr>
          <w:b/>
        </w:rPr>
        <w:t>е</w:t>
      </w:r>
      <w:r w:rsidRPr="00A20C4E">
        <w:rPr>
          <w:b/>
        </w:rPr>
        <w:t>таллов</w:t>
      </w:r>
    </w:p>
    <w:p w:rsidR="000F2A71" w:rsidRPr="00A20C4E" w:rsidRDefault="000F2A71" w:rsidP="000F2A71">
      <w:pPr>
        <w:pStyle w:val="a3"/>
        <w:ind w:left="720" w:firstLine="0"/>
        <w:jc w:val="center"/>
        <w:rPr>
          <w:b/>
        </w:rPr>
      </w:pPr>
    </w:p>
    <w:p w:rsidR="000F2A71" w:rsidRDefault="000F2A71" w:rsidP="000F2A71">
      <w:pPr>
        <w:pStyle w:val="a3"/>
        <w:ind w:firstLine="720"/>
        <w:jc w:val="both"/>
      </w:pPr>
      <w:r>
        <w:t>Примеси  и нарушения правильной структуры металлов увеличивают их удельные сопротивления. Значительное возрастание ρ н</w:t>
      </w:r>
      <w:r>
        <w:t>а</w:t>
      </w:r>
      <w:r>
        <w:t>блюдается при сплавлении двух металлов в том случае, если они образуют твердый раствор, когда атомы одного металла входят в кр</w:t>
      </w:r>
      <w:r>
        <w:t>и</w:t>
      </w:r>
      <w:r>
        <w:t>сталлическую решетку другого.</w:t>
      </w:r>
    </w:p>
    <w:p w:rsidR="000F2A71" w:rsidRDefault="000F2A71" w:rsidP="000F2A71">
      <w:pPr>
        <w:pStyle w:val="a3"/>
        <w:ind w:firstLine="720"/>
        <w:jc w:val="both"/>
      </w:pPr>
      <w:proofErr w:type="gramStart"/>
      <w:r>
        <w:t>Для иллюстрации этого явления на рисунке 32 представлены зависимости параметров сплавов медь-никель от состава (в процентах по массе, где а – удельное сопротивление ρ; б – температурный коэффициент удельного сопротивления α</w:t>
      </w:r>
      <w:r>
        <w:rPr>
          <w:vertAlign w:val="subscript"/>
        </w:rPr>
        <w:t>ρ</w:t>
      </w:r>
      <w:r>
        <w:t>. Видно относительно малыми значениями ρ и большими значениями α</w:t>
      </w:r>
      <w:r>
        <w:rPr>
          <w:vertAlign w:val="subscript"/>
        </w:rPr>
        <w:t>ρ</w:t>
      </w:r>
      <w:r>
        <w:t xml:space="preserve"> обладают чи</w:t>
      </w:r>
      <w:r>
        <w:t>с</w:t>
      </w:r>
      <w:r>
        <w:t>тые металлы (медь и никель).</w:t>
      </w:r>
      <w:proofErr w:type="gramEnd"/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firstLine="720"/>
        <w:jc w:val="center"/>
      </w:pPr>
      <w:r>
        <w:rPr>
          <w:noProof/>
        </w:rPr>
        <w:drawing>
          <wp:inline distT="0" distB="0" distL="0" distR="0">
            <wp:extent cx="1685925" cy="1939925"/>
            <wp:effectExtent l="0" t="0" r="952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93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firstLine="720"/>
        <w:jc w:val="center"/>
      </w:pPr>
      <w:r>
        <w:t xml:space="preserve">Рисунок 32 </w:t>
      </w:r>
      <w:r>
        <w:sym w:font="Symbol" w:char="F02D"/>
      </w:r>
      <w:r>
        <w:t xml:space="preserve">  Зависимость параметров сплавов медь-никель от состава</w:t>
      </w:r>
    </w:p>
    <w:p w:rsidR="000F2A71" w:rsidRDefault="000F2A71" w:rsidP="000F2A71">
      <w:pPr>
        <w:pStyle w:val="a3"/>
        <w:ind w:firstLine="720"/>
        <w:jc w:val="center"/>
      </w:pPr>
    </w:p>
    <w:p w:rsidR="000F2A71" w:rsidRDefault="000F2A71" w:rsidP="000F2A71">
      <w:pPr>
        <w:pStyle w:val="a3"/>
        <w:ind w:firstLine="720"/>
        <w:jc w:val="both"/>
      </w:pPr>
      <w:proofErr w:type="gramStart"/>
      <w:r>
        <w:t>Если же сплав двух металлов создает раздельную кристаллизацию и структура застывшего сплава представляет собой смесь кристаллов каждого из компонентов, т.е. если эти кристаллы не образуют твердого раствора и искажение кристаллической решетки каждого компонента не наблюдается, то удельная проводимость γ сплава меняется с изменением состава приблизительно линейно, т.е. определяется арифметическим правилом смешения.</w:t>
      </w:r>
      <w:proofErr w:type="gramEnd"/>
      <w:r>
        <w:t xml:space="preserve"> Для примера на рисунке 33 представлена завис</w:t>
      </w:r>
      <w:r>
        <w:t>и</w:t>
      </w:r>
      <w:r>
        <w:t xml:space="preserve">мость удельной проводимости γ сплавов медь – вольфрам от состава. Видно, что проводимость меди составляет максимальное значение, а вольфрама минимальное. </w:t>
      </w:r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firstLine="720"/>
        <w:jc w:val="center"/>
      </w:pPr>
      <w:r>
        <w:rPr>
          <w:noProof/>
        </w:rPr>
        <w:lastRenderedPageBreak/>
        <w:drawing>
          <wp:inline distT="0" distB="0" distL="0" distR="0">
            <wp:extent cx="2035810" cy="1837055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5810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firstLine="720"/>
        <w:jc w:val="both"/>
      </w:pPr>
      <w:r>
        <w:t xml:space="preserve">Рисунок 33 </w:t>
      </w:r>
      <w:r>
        <w:sym w:font="Symbol" w:char="F02D"/>
      </w:r>
      <w:r>
        <w:t xml:space="preserve"> Зависимость удельной проводимости γ сплавов медь-вольфрам от состава</w:t>
      </w:r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firstLine="720"/>
        <w:jc w:val="both"/>
      </w:pPr>
      <w:r>
        <w:t xml:space="preserve">Влияние металлов, входящих в сплав, на удельное сопротивление сплавов аналитически выражается зависимостью (закон </w:t>
      </w:r>
      <w:proofErr w:type="spellStart"/>
      <w:r>
        <w:t>Нордге</w:t>
      </w:r>
      <w:r>
        <w:t>й</w:t>
      </w:r>
      <w:r>
        <w:t>ма</w:t>
      </w:r>
      <w:proofErr w:type="spellEnd"/>
      <w:r>
        <w:t>)</w:t>
      </w:r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left="2832" w:firstLine="0"/>
        <w:jc w:val="both"/>
      </w:pPr>
      <w:r w:rsidRPr="00F4037F">
        <w:rPr>
          <w:position w:val="-12"/>
        </w:rPr>
        <w:object w:dxaOrig="3300" w:dyaOrig="380">
          <v:shape id="_x0000_i1029" type="#_x0000_t75" style="width:165.3pt;height:18.8pt" o:ole="">
            <v:imagedata r:id="rId16" o:title=""/>
          </v:shape>
          <o:OLEObject Type="Embed" ProgID="Equation.3" ShapeID="_x0000_i1029" DrawAspect="Content" ObjectID="_1450858624" r:id="rId17"/>
        </w:object>
      </w:r>
      <w:r>
        <w:t xml:space="preserve">,  </w:t>
      </w:r>
      <w:r>
        <w:tab/>
      </w:r>
      <w:r>
        <w:tab/>
      </w:r>
      <w:r>
        <w:tab/>
        <w:t>(7.10)</w:t>
      </w:r>
    </w:p>
    <w:p w:rsidR="000F2A71" w:rsidRDefault="000F2A71" w:rsidP="000F2A71">
      <w:pPr>
        <w:pStyle w:val="a3"/>
        <w:ind w:left="2832" w:firstLine="0"/>
        <w:jc w:val="both"/>
      </w:pPr>
    </w:p>
    <w:p w:rsidR="000F2A71" w:rsidRDefault="000F2A71" w:rsidP="000F2A71">
      <w:pPr>
        <w:pStyle w:val="a3"/>
        <w:ind w:firstLine="720"/>
        <w:jc w:val="both"/>
      </w:pPr>
      <w:r>
        <w:t xml:space="preserve">где </w:t>
      </w:r>
      <w:proofErr w:type="spellStart"/>
      <w:r>
        <w:t>ρ</w:t>
      </w:r>
      <w:r>
        <w:rPr>
          <w:vertAlign w:val="subscript"/>
        </w:rPr>
        <w:t>тρ</w:t>
      </w:r>
      <w:proofErr w:type="spellEnd"/>
      <w:r>
        <w:rPr>
          <w:vertAlign w:val="subscript"/>
        </w:rPr>
        <w:t xml:space="preserve"> </w:t>
      </w:r>
      <w:r>
        <w:t xml:space="preserve">– сопротивление, обусловленное рассеиванием электронов на тепловых колебаниях решетки; </w:t>
      </w:r>
      <w:proofErr w:type="spellStart"/>
      <w:r>
        <w:t>ρ</w:t>
      </w:r>
      <w:r>
        <w:rPr>
          <w:vertAlign w:val="subscript"/>
        </w:rPr>
        <w:t>ост</w:t>
      </w:r>
      <w:proofErr w:type="spellEnd"/>
      <w:r>
        <w:t xml:space="preserve"> – остаточное сопротивл</w:t>
      </w:r>
      <w:r>
        <w:t>е</w:t>
      </w:r>
      <w:r>
        <w:t xml:space="preserve">ние, связанное с рассеянием электронов на неоднородностях структуры сплава; </w:t>
      </w:r>
      <w:proofErr w:type="gramStart"/>
      <w:r>
        <w:t>С</w:t>
      </w:r>
      <w:proofErr w:type="gramEnd"/>
      <w:r>
        <w:t xml:space="preserve"> – </w:t>
      </w:r>
      <w:proofErr w:type="gramStart"/>
      <w:r>
        <w:t>константа</w:t>
      </w:r>
      <w:proofErr w:type="gramEnd"/>
      <w:r>
        <w:t>, зависящая от природы сплава; Х</w:t>
      </w:r>
      <w:r>
        <w:rPr>
          <w:vertAlign w:val="subscript"/>
        </w:rPr>
        <w:t xml:space="preserve">а </w:t>
      </w:r>
      <w:r>
        <w:t xml:space="preserve"> и </w:t>
      </w:r>
      <w:proofErr w:type="spellStart"/>
      <w:r>
        <w:t>Х</w:t>
      </w:r>
      <w:r>
        <w:rPr>
          <w:vertAlign w:val="subscript"/>
        </w:rPr>
        <w:t>в</w:t>
      </w:r>
      <w:proofErr w:type="spellEnd"/>
      <w:r>
        <w:t xml:space="preserve"> – атомные доли компонентов в сплаве.</w:t>
      </w:r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left="720" w:firstLine="0"/>
        <w:jc w:val="center"/>
        <w:rPr>
          <w:b/>
        </w:rPr>
      </w:pPr>
      <w:r w:rsidRPr="00A20C4E">
        <w:rPr>
          <w:b/>
        </w:rPr>
        <w:t>7.5 Термоэлектродвижущая сила</w:t>
      </w:r>
    </w:p>
    <w:p w:rsidR="000F2A71" w:rsidRPr="00A20C4E" w:rsidRDefault="000F2A71" w:rsidP="000F2A71">
      <w:pPr>
        <w:pStyle w:val="a3"/>
        <w:ind w:left="720" w:firstLine="0"/>
        <w:jc w:val="center"/>
        <w:rPr>
          <w:b/>
        </w:rPr>
      </w:pPr>
    </w:p>
    <w:p w:rsidR="000F2A71" w:rsidRDefault="000F2A71" w:rsidP="000F2A71">
      <w:pPr>
        <w:pStyle w:val="a3"/>
        <w:ind w:firstLine="720"/>
        <w:jc w:val="both"/>
      </w:pPr>
      <w:r>
        <w:t>При соприкосновении двух различных металлических проводников между ними возникает разность потенциалов. Причина появления этой ЭДС заключается в различии значений работы выхода электронов из металлов, а также в том, что концентрация электронов, а следовательно</w:t>
      </w:r>
      <w:proofErr w:type="gramStart"/>
      <w:r>
        <w:t xml:space="preserve"> ,</w:t>
      </w:r>
      <w:proofErr w:type="gramEnd"/>
      <w:r>
        <w:t xml:space="preserve"> и давление электронного газа у разных металлов и сплавов могут быть неодинаковыми. Из электронной теории металлов следует, что контактная разность потенциалов между металлами</w:t>
      </w:r>
      <w:proofErr w:type="gramStart"/>
      <w:r>
        <w:t xml:space="preserve"> А</w:t>
      </w:r>
      <w:proofErr w:type="gramEnd"/>
      <w:r>
        <w:t xml:space="preserve"> и В равна</w:t>
      </w:r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firstLine="720"/>
        <w:jc w:val="both"/>
      </w:pPr>
      <w:r>
        <w:tab/>
      </w:r>
      <w:r>
        <w:tab/>
      </w:r>
      <w:r>
        <w:rPr>
          <w:position w:val="-30"/>
        </w:rPr>
        <w:object w:dxaOrig="2580" w:dyaOrig="680">
          <v:shape id="_x0000_i1030" type="#_x0000_t75" style="width:128.95pt;height:33.8pt" o:ole="">
            <v:imagedata r:id="rId18" o:title=""/>
          </v:shape>
          <o:OLEObject Type="Embed" ProgID="Equation.3" ShapeID="_x0000_i1030" DrawAspect="Content" ObjectID="_1450858625" r:id="rId19"/>
        </w:object>
      </w:r>
      <w:r>
        <w:t xml:space="preserve"> ,</w:t>
      </w:r>
      <w:r>
        <w:tab/>
      </w:r>
      <w:r>
        <w:tab/>
      </w:r>
      <w:r>
        <w:tab/>
      </w:r>
      <w:r>
        <w:tab/>
      </w:r>
      <w:r>
        <w:tab/>
        <w:t>(7.16)</w:t>
      </w:r>
    </w:p>
    <w:p w:rsidR="000F2A71" w:rsidRDefault="000F2A71" w:rsidP="000F2A71">
      <w:pPr>
        <w:pStyle w:val="a3"/>
        <w:ind w:firstLine="720"/>
        <w:jc w:val="both"/>
      </w:pPr>
    </w:p>
    <w:p w:rsidR="000F2A71" w:rsidRDefault="000F2A71" w:rsidP="000F2A71">
      <w:pPr>
        <w:pStyle w:val="a3"/>
        <w:ind w:firstLine="720"/>
        <w:jc w:val="both"/>
      </w:pPr>
      <w:r>
        <w:t xml:space="preserve">где </w:t>
      </w:r>
      <w:r>
        <w:rPr>
          <w:lang w:val="en-US"/>
        </w:rPr>
        <w:t>U</w:t>
      </w:r>
      <w:r>
        <w:rPr>
          <w:vertAlign w:val="subscript"/>
        </w:rPr>
        <w:t xml:space="preserve">А </w:t>
      </w:r>
      <w:r>
        <w:t xml:space="preserve">и </w:t>
      </w:r>
      <w:r>
        <w:rPr>
          <w:lang w:val="en-US"/>
        </w:rPr>
        <w:t>U</w:t>
      </w:r>
      <w:r>
        <w:rPr>
          <w:vertAlign w:val="subscript"/>
        </w:rPr>
        <w:t xml:space="preserve">В </w:t>
      </w:r>
      <w:r>
        <w:t xml:space="preserve">– потенциалы соприкасающихся металлов; </w:t>
      </w:r>
      <w:r>
        <w:rPr>
          <w:lang w:val="en-US"/>
        </w:rPr>
        <w:t>n</w:t>
      </w:r>
      <w:r>
        <w:rPr>
          <w:vertAlign w:val="subscript"/>
        </w:rPr>
        <w:t xml:space="preserve">А </w:t>
      </w:r>
      <w:r>
        <w:t xml:space="preserve">  и  </w:t>
      </w:r>
      <w:r>
        <w:rPr>
          <w:lang w:val="en-US"/>
        </w:rPr>
        <w:t>n</w:t>
      </w:r>
      <w:r>
        <w:rPr>
          <w:vertAlign w:val="subscript"/>
        </w:rPr>
        <w:t>В</w:t>
      </w:r>
      <w:r>
        <w:t xml:space="preserve"> – концентрация электронов в металлах</w:t>
      </w:r>
      <w:proofErr w:type="gramStart"/>
      <w:r>
        <w:t xml:space="preserve"> А</w:t>
      </w:r>
      <w:proofErr w:type="gramEnd"/>
      <w:r>
        <w:t xml:space="preserve"> и В; к – постоянная Боль</w:t>
      </w:r>
      <w:r>
        <w:t>ц</w:t>
      </w:r>
      <w:r>
        <w:t>мана; е – абсолютная вел</w:t>
      </w:r>
      <w:r>
        <w:t>и</w:t>
      </w:r>
      <w:r>
        <w:t>чина заряда электрона.</w:t>
      </w:r>
    </w:p>
    <w:p w:rsidR="000F2A71" w:rsidRDefault="000F2A71" w:rsidP="000F2A71">
      <w:pPr>
        <w:ind w:firstLine="720"/>
        <w:jc w:val="both"/>
        <w:rPr>
          <w:sz w:val="28"/>
          <w:szCs w:val="28"/>
          <w:lang w:val="ru-MO"/>
        </w:rPr>
      </w:pP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Если температуры «спаев» одинаковы, то сумма разности потенциалов в замкнутой цепи равна нулю. Иначе обстоит дело, когда один из спаев имеет температуру Т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  <w:vertAlign w:val="subscript"/>
        </w:rPr>
        <w:t xml:space="preserve">, </w:t>
      </w:r>
      <w:r>
        <w:rPr>
          <w:sz w:val="28"/>
          <w:szCs w:val="28"/>
        </w:rPr>
        <w:t>а другой  - температуру Т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(рис</w:t>
      </w:r>
      <w:r>
        <w:rPr>
          <w:sz w:val="28"/>
          <w:szCs w:val="28"/>
        </w:rPr>
        <w:t>у</w:t>
      </w:r>
      <w:r>
        <w:rPr>
          <w:sz w:val="28"/>
          <w:szCs w:val="28"/>
        </w:rPr>
        <w:t>нок 34). В этом случае между спаями возн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кает </w:t>
      </w:r>
      <w:proofErr w:type="spellStart"/>
      <w:r>
        <w:rPr>
          <w:sz w:val="28"/>
          <w:szCs w:val="28"/>
        </w:rPr>
        <w:t>термо</w:t>
      </w:r>
      <w:proofErr w:type="spellEnd"/>
      <w:r>
        <w:rPr>
          <w:sz w:val="28"/>
          <w:szCs w:val="28"/>
        </w:rPr>
        <w:t xml:space="preserve"> - ЭДС, </w:t>
      </w:r>
      <w:proofErr w:type="gramStart"/>
      <w:r>
        <w:rPr>
          <w:sz w:val="28"/>
          <w:szCs w:val="28"/>
        </w:rPr>
        <w:t>равная</w:t>
      </w:r>
      <w:proofErr w:type="gramEnd"/>
    </w:p>
    <w:p w:rsidR="000F2A71" w:rsidRDefault="000F2A71" w:rsidP="000F2A71">
      <w:pPr>
        <w:ind w:firstLine="720"/>
        <w:jc w:val="both"/>
        <w:rPr>
          <w:sz w:val="28"/>
          <w:szCs w:val="28"/>
        </w:rPr>
      </w:pPr>
    </w:p>
    <w:p w:rsidR="000F2A71" w:rsidRDefault="000F2A71" w:rsidP="000F2A71">
      <w:pPr>
        <w:ind w:left="2832"/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2000" w:dyaOrig="680">
          <v:shape id="_x0000_i1031" type="#_x0000_t75" style="width:100.15pt;height:33.8pt" o:ole="">
            <v:imagedata r:id="rId20" o:title=""/>
          </v:shape>
          <o:OLEObject Type="Embed" ProgID="Equation.3" ShapeID="_x0000_i1031" DrawAspect="Content" ObjectID="_1450858626" r:id="rId21"/>
        </w:object>
      </w:r>
      <w:r>
        <w:rPr>
          <w:sz w:val="28"/>
          <w:szCs w:val="28"/>
        </w:rPr>
        <w:t xml:space="preserve"> ,</w:t>
      </w:r>
      <w:r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(7.17)</w:t>
      </w:r>
    </w:p>
    <w:p w:rsidR="000F2A71" w:rsidRDefault="000F2A71" w:rsidP="000F2A71">
      <w:pPr>
        <w:ind w:left="2832"/>
        <w:jc w:val="both"/>
        <w:rPr>
          <w:sz w:val="28"/>
          <w:szCs w:val="28"/>
        </w:rPr>
      </w:pP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 можно записать в виде </w:t>
      </w:r>
    </w:p>
    <w:p w:rsidR="000F2A71" w:rsidRDefault="000F2A71" w:rsidP="000F2A71">
      <w:pPr>
        <w:ind w:firstLine="720"/>
        <w:jc w:val="both"/>
        <w:rPr>
          <w:sz w:val="28"/>
          <w:szCs w:val="28"/>
        </w:rPr>
      </w:pP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position w:val="-10"/>
          <w:sz w:val="28"/>
          <w:szCs w:val="28"/>
        </w:rPr>
        <w:object w:dxaOrig="1500" w:dyaOrig="340">
          <v:shape id="_x0000_i1032" type="#_x0000_t75" style="width:75.15pt;height:16.9pt" o:ole="">
            <v:imagedata r:id="rId22" o:title=""/>
          </v:shape>
          <o:OLEObject Type="Embed" ProgID="Equation.3" ShapeID="_x0000_i1032" DrawAspect="Content" ObjectID="_1450858627" r:id="rId23"/>
        </w:object>
      </w:r>
      <w:r>
        <w:rPr>
          <w:sz w:val="28"/>
          <w:szCs w:val="28"/>
        </w:rPr>
        <w:t>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(7.18)</w:t>
      </w:r>
    </w:p>
    <w:p w:rsidR="000F2A71" w:rsidRDefault="000F2A71" w:rsidP="000F2A71">
      <w:pPr>
        <w:ind w:firstLine="720"/>
        <w:jc w:val="both"/>
        <w:rPr>
          <w:sz w:val="28"/>
          <w:szCs w:val="28"/>
        </w:rPr>
      </w:pP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Ψ – постоянный для данной пары проводников коэффициент </w:t>
      </w:r>
      <w:proofErr w:type="spellStart"/>
      <w:r>
        <w:rPr>
          <w:sz w:val="28"/>
          <w:szCs w:val="28"/>
        </w:rPr>
        <w:t>термо</w:t>
      </w:r>
      <w:proofErr w:type="spellEnd"/>
      <w:r>
        <w:rPr>
          <w:sz w:val="28"/>
          <w:szCs w:val="28"/>
        </w:rPr>
        <w:t xml:space="preserve"> – ЭДС, т.е. </w:t>
      </w:r>
      <w:proofErr w:type="spellStart"/>
      <w:r>
        <w:rPr>
          <w:sz w:val="28"/>
          <w:szCs w:val="28"/>
        </w:rPr>
        <w:t>термо</w:t>
      </w:r>
      <w:proofErr w:type="spellEnd"/>
      <w:r>
        <w:rPr>
          <w:sz w:val="28"/>
          <w:szCs w:val="28"/>
        </w:rPr>
        <w:t xml:space="preserve"> – ЭДС должна быть пропорциональна разности температур спаев.</w:t>
      </w:r>
    </w:p>
    <w:p w:rsidR="000F2A71" w:rsidRPr="00BC4BAB" w:rsidRDefault="000F2A71" w:rsidP="000F2A71">
      <w:pPr>
        <w:ind w:firstLine="720"/>
        <w:jc w:val="both"/>
        <w:rPr>
          <w:sz w:val="28"/>
          <w:szCs w:val="28"/>
        </w:rPr>
      </w:pPr>
    </w:p>
    <w:p w:rsidR="000F2A71" w:rsidRDefault="000F2A71" w:rsidP="000F2A71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23265" cy="166179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166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A71" w:rsidRDefault="000F2A71" w:rsidP="000F2A71">
      <w:pPr>
        <w:ind w:firstLine="720"/>
        <w:jc w:val="center"/>
        <w:rPr>
          <w:sz w:val="28"/>
          <w:szCs w:val="28"/>
        </w:rPr>
      </w:pPr>
    </w:p>
    <w:p w:rsidR="000F2A71" w:rsidRDefault="000F2A71" w:rsidP="000F2A71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34 </w:t>
      </w:r>
      <w:r>
        <w:rPr>
          <w:sz w:val="28"/>
          <w:szCs w:val="28"/>
        </w:rPr>
        <w:sym w:font="Symbol" w:char="F02D"/>
      </w:r>
      <w:r>
        <w:rPr>
          <w:sz w:val="28"/>
          <w:szCs w:val="28"/>
        </w:rPr>
        <w:t xml:space="preserve"> Схема термопары</w:t>
      </w:r>
    </w:p>
    <w:p w:rsidR="000F2A71" w:rsidRDefault="000F2A71" w:rsidP="000F2A71">
      <w:pPr>
        <w:ind w:firstLine="720"/>
        <w:jc w:val="both"/>
        <w:rPr>
          <w:b/>
          <w:sz w:val="28"/>
          <w:szCs w:val="28"/>
        </w:rPr>
      </w:pPr>
    </w:p>
    <w:p w:rsidR="000F2A71" w:rsidRDefault="000F2A71" w:rsidP="000F2A71">
      <w:pPr>
        <w:ind w:firstLine="720"/>
        <w:jc w:val="both"/>
        <w:rPr>
          <w:b/>
          <w:sz w:val="28"/>
          <w:szCs w:val="28"/>
        </w:rPr>
      </w:pPr>
    </w:p>
    <w:p w:rsidR="000F2A71" w:rsidRDefault="000F2A71" w:rsidP="000F2A71">
      <w:pPr>
        <w:ind w:firstLine="720"/>
        <w:jc w:val="center"/>
        <w:rPr>
          <w:b/>
          <w:sz w:val="28"/>
          <w:szCs w:val="28"/>
        </w:rPr>
      </w:pPr>
      <w:r w:rsidRPr="00A20C4E">
        <w:rPr>
          <w:b/>
          <w:sz w:val="28"/>
          <w:szCs w:val="28"/>
        </w:rPr>
        <w:t>7.6 Сопротивление тонких металлических пленок.</w:t>
      </w:r>
    </w:p>
    <w:p w:rsidR="000F2A71" w:rsidRDefault="000F2A71" w:rsidP="000F2A71">
      <w:pPr>
        <w:jc w:val="center"/>
        <w:rPr>
          <w:b/>
          <w:sz w:val="28"/>
          <w:szCs w:val="28"/>
        </w:rPr>
      </w:pPr>
      <w:r w:rsidRPr="00A20C4E">
        <w:rPr>
          <w:b/>
          <w:sz w:val="28"/>
          <w:szCs w:val="28"/>
        </w:rPr>
        <w:t>Разме</w:t>
      </w:r>
      <w:r w:rsidRPr="00A20C4E">
        <w:rPr>
          <w:b/>
          <w:sz w:val="28"/>
          <w:szCs w:val="28"/>
        </w:rPr>
        <w:t>р</w:t>
      </w:r>
      <w:r w:rsidRPr="00A20C4E">
        <w:rPr>
          <w:b/>
          <w:sz w:val="28"/>
          <w:szCs w:val="28"/>
        </w:rPr>
        <w:t>ные эффекты</w:t>
      </w:r>
    </w:p>
    <w:p w:rsidR="000F2A71" w:rsidRPr="00A20C4E" w:rsidRDefault="000F2A71" w:rsidP="000F2A71">
      <w:pPr>
        <w:jc w:val="center"/>
        <w:rPr>
          <w:b/>
          <w:sz w:val="28"/>
          <w:szCs w:val="28"/>
        </w:rPr>
      </w:pP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Металлические пленки МП широко применяются в микроэлектронике в качестве межэлементных  соединений, обкладок конденс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торов, магнитных и резистивных элементов интегральных схем. Эле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трические свойства МП отличаются от свойств объемных образцов исходного материала. Основными причинами являю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ся: </w:t>
      </w: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разнообразие структурных характеристик МП, получаемых методом конденсации молекулярных пучков в высоком вакууме от предельно неупорядоченного мелкодисперсного состояния (амфорный конденсатор) до структуры весьма совершенного монокристаллического слоя (эпитаксиальные пленки);</w:t>
      </w: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размерные эффекты, т.е. с возрастающей ролью поверхностных процессов по сравнению с </w:t>
      </w:r>
      <w:proofErr w:type="gramStart"/>
      <w:r>
        <w:rPr>
          <w:sz w:val="28"/>
          <w:szCs w:val="28"/>
        </w:rPr>
        <w:t>объемными</w:t>
      </w:r>
      <w:proofErr w:type="gramEnd"/>
      <w:r>
        <w:rPr>
          <w:sz w:val="28"/>
          <w:szCs w:val="28"/>
        </w:rPr>
        <w:t>. В частности в электр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проводности размерный эффект возникает в том случае, когда толщина пленки оказывается соизмеримой со средней длиной свободного пробега электрона. На рисунке 35 приведены типичные зависимости удельного сопротивления </w:t>
      </w:r>
      <w:r>
        <w:rPr>
          <w:position w:val="-12"/>
          <w:sz w:val="28"/>
          <w:szCs w:val="28"/>
        </w:rPr>
        <w:object w:dxaOrig="320" w:dyaOrig="360">
          <v:shape id="_x0000_i1033" type="#_x0000_t75" style="width:16.3pt;height:18.15pt" o:ole="">
            <v:imagedata r:id="rId25" o:title=""/>
          </v:shape>
          <o:OLEObject Type="Embed" ProgID="Equation.3" ShapeID="_x0000_i1033" DrawAspect="Content" ObjectID="_1450858628" r:id="rId26"/>
        </w:object>
      </w:r>
      <w:r>
        <w:rPr>
          <w:sz w:val="28"/>
          <w:szCs w:val="28"/>
        </w:rPr>
        <w:t xml:space="preserve"> и температурного коэффициента удельного сопротивления </w:t>
      </w:r>
      <w:r>
        <w:rPr>
          <w:position w:val="-12"/>
          <w:sz w:val="28"/>
          <w:szCs w:val="28"/>
        </w:rPr>
        <w:object w:dxaOrig="440" w:dyaOrig="360">
          <v:shape id="_x0000_i1034" type="#_x0000_t75" style="width:21.9pt;height:18.15pt" o:ole="">
            <v:imagedata r:id="rId27" o:title=""/>
          </v:shape>
          <o:OLEObject Type="Embed" ProgID="Equation.3" ShapeID="_x0000_i1034" DrawAspect="Content" ObjectID="_1450858629" r:id="rId28"/>
        </w:object>
      </w:r>
      <w:r>
        <w:rPr>
          <w:sz w:val="28"/>
          <w:szCs w:val="28"/>
        </w:rPr>
        <w:t xml:space="preserve"> от </w:t>
      </w:r>
      <w:r>
        <w:rPr>
          <w:sz w:val="28"/>
          <w:szCs w:val="28"/>
        </w:rPr>
        <w:lastRenderedPageBreak/>
        <w:t xml:space="preserve">толщины пленки. Пунктиром показаны значения </w:t>
      </w:r>
      <w:r>
        <w:rPr>
          <w:position w:val="-12"/>
          <w:sz w:val="28"/>
          <w:szCs w:val="28"/>
        </w:rPr>
        <w:object w:dxaOrig="520" w:dyaOrig="360">
          <v:shape id="_x0000_i1035" type="#_x0000_t75" style="width:26.3pt;height:18.15pt" o:ole="">
            <v:imagedata r:id="rId29" o:title=""/>
          </v:shape>
          <o:OLEObject Type="Embed" ProgID="Equation.3" ShapeID="_x0000_i1035" DrawAspect="Content" ObjectID="_1450858630" r:id="rId30"/>
        </w:object>
      </w:r>
      <w:r>
        <w:rPr>
          <w:sz w:val="28"/>
          <w:szCs w:val="28"/>
        </w:rPr>
        <w:t xml:space="preserve"> и </w:t>
      </w:r>
      <w:r>
        <w:rPr>
          <w:position w:val="-12"/>
          <w:sz w:val="28"/>
          <w:szCs w:val="28"/>
        </w:rPr>
        <w:object w:dxaOrig="440" w:dyaOrig="360">
          <v:shape id="_x0000_i1036" type="#_x0000_t75" style="width:21.9pt;height:18.15pt" o:ole="">
            <v:imagedata r:id="rId31" o:title=""/>
          </v:shape>
          <o:OLEObject Type="Embed" ProgID="Equation.3" ShapeID="_x0000_i1036" DrawAspect="Content" ObjectID="_1450858631" r:id="rId32"/>
        </w:object>
      </w:r>
      <w:r>
        <w:rPr>
          <w:sz w:val="28"/>
          <w:szCs w:val="28"/>
        </w:rPr>
        <w:t xml:space="preserve"> для об</w:t>
      </w:r>
      <w:r>
        <w:rPr>
          <w:sz w:val="28"/>
          <w:szCs w:val="28"/>
        </w:rPr>
        <w:t>ъ</w:t>
      </w:r>
      <w:r>
        <w:rPr>
          <w:sz w:val="28"/>
          <w:szCs w:val="28"/>
        </w:rPr>
        <w:t>емных образцов.</w:t>
      </w:r>
    </w:p>
    <w:p w:rsidR="000F2A71" w:rsidRDefault="000F2A71" w:rsidP="000F2A71">
      <w:pPr>
        <w:ind w:left="5760" w:firstLine="720"/>
        <w:jc w:val="both"/>
        <w:rPr>
          <w:sz w:val="28"/>
          <w:szCs w:val="28"/>
        </w:rPr>
      </w:pPr>
    </w:p>
    <w:p w:rsidR="000F2A71" w:rsidRDefault="000F2A71" w:rsidP="000F2A71">
      <w:pPr>
        <w:ind w:left="2124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783205" cy="32677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326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A71" w:rsidRDefault="000F2A71" w:rsidP="000F2A71">
      <w:pPr>
        <w:ind w:left="5760" w:firstLine="720"/>
        <w:jc w:val="both"/>
        <w:rPr>
          <w:sz w:val="28"/>
          <w:szCs w:val="28"/>
        </w:rPr>
      </w:pPr>
    </w:p>
    <w:p w:rsidR="000F2A71" w:rsidRDefault="000F2A71" w:rsidP="000F2A71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35 </w:t>
      </w:r>
      <w:r>
        <w:rPr>
          <w:sz w:val="28"/>
          <w:szCs w:val="28"/>
        </w:rPr>
        <w:sym w:font="Symbol" w:char="F02D"/>
      </w:r>
      <w:r>
        <w:rPr>
          <w:sz w:val="28"/>
          <w:szCs w:val="28"/>
        </w:rPr>
        <w:t xml:space="preserve"> Зависимости </w:t>
      </w:r>
      <w:proofErr w:type="spellStart"/>
      <w:r>
        <w:rPr>
          <w:sz w:val="28"/>
          <w:szCs w:val="28"/>
          <w:lang w:val="en-US"/>
        </w:rPr>
        <w:t>lg</w:t>
      </w:r>
      <w:proofErr w:type="spellEnd"/>
      <w:r>
        <w:rPr>
          <w:sz w:val="28"/>
          <w:szCs w:val="28"/>
          <w:lang w:val="en-US"/>
        </w:rPr>
        <w:sym w:font="Symbol" w:char="F072"/>
      </w:r>
      <w:r>
        <w:rPr>
          <w:sz w:val="28"/>
          <w:szCs w:val="28"/>
          <w:vertAlign w:val="subscript"/>
          <w:lang w:val="en-US"/>
        </w:rPr>
        <w:t>δ</w:t>
      </w:r>
      <w:r>
        <w:rPr>
          <w:sz w:val="28"/>
          <w:szCs w:val="28"/>
        </w:rPr>
        <w:t>=</w:t>
      </w:r>
      <w:r>
        <w:rPr>
          <w:sz w:val="28"/>
          <w:szCs w:val="28"/>
          <w:lang w:val="en-US"/>
        </w:rPr>
        <w:sym w:font="Symbol" w:char="F0A6"/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δ</w:t>
      </w:r>
      <w:r>
        <w:rPr>
          <w:sz w:val="28"/>
          <w:szCs w:val="28"/>
        </w:rPr>
        <w:t>) и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Symbol" w:char="F061"/>
      </w:r>
      <w:r>
        <w:rPr>
          <w:sz w:val="28"/>
          <w:szCs w:val="28"/>
          <w:vertAlign w:val="subscript"/>
        </w:rPr>
        <w:sym w:font="Symbol" w:char="F072"/>
      </w:r>
      <w:r>
        <w:rPr>
          <w:sz w:val="28"/>
          <w:szCs w:val="28"/>
          <w:vertAlign w:val="subscript"/>
        </w:rPr>
        <w:t>δ</w:t>
      </w:r>
      <w:r>
        <w:rPr>
          <w:sz w:val="28"/>
          <w:szCs w:val="28"/>
        </w:rPr>
        <w:t>=</w:t>
      </w:r>
      <w:r>
        <w:rPr>
          <w:sz w:val="28"/>
          <w:szCs w:val="28"/>
        </w:rPr>
        <w:sym w:font="Symbol" w:char="F0A6"/>
      </w:r>
      <w:r>
        <w:rPr>
          <w:sz w:val="28"/>
          <w:szCs w:val="28"/>
        </w:rPr>
        <w:t>(δ)</w:t>
      </w:r>
      <w:proofErr w:type="gramEnd"/>
    </w:p>
    <w:p w:rsidR="000F2A71" w:rsidRDefault="000F2A71" w:rsidP="000F2A71">
      <w:pPr>
        <w:ind w:left="5760" w:firstLine="720"/>
        <w:jc w:val="both"/>
        <w:rPr>
          <w:sz w:val="28"/>
          <w:szCs w:val="28"/>
        </w:rPr>
      </w:pP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металлических пленок наблюдается 3-и области: </w:t>
      </w:r>
      <w:r>
        <w:rPr>
          <w:sz w:val="28"/>
          <w:szCs w:val="28"/>
          <w:lang w:val="en-US"/>
        </w:rPr>
        <w:t>I</w:t>
      </w:r>
      <w:r w:rsidRPr="00A20C4E">
        <w:rPr>
          <w:sz w:val="28"/>
          <w:szCs w:val="28"/>
        </w:rPr>
        <w:t xml:space="preserve"> - </w:t>
      </w:r>
      <w:r>
        <w:rPr>
          <w:sz w:val="28"/>
          <w:szCs w:val="28"/>
        </w:rPr>
        <w:t xml:space="preserve">толщина МП около 0.1 мкм; </w:t>
      </w:r>
      <w:r>
        <w:rPr>
          <w:sz w:val="28"/>
          <w:szCs w:val="28"/>
          <w:lang w:val="en-US"/>
        </w:rPr>
        <w:t>II</w:t>
      </w:r>
      <w:r w:rsidRPr="00A20C4E">
        <w:rPr>
          <w:sz w:val="28"/>
          <w:szCs w:val="28"/>
        </w:rPr>
        <w:t xml:space="preserve"> - </w:t>
      </w:r>
      <w:r>
        <w:rPr>
          <w:sz w:val="28"/>
          <w:szCs w:val="28"/>
        </w:rPr>
        <w:t>δ=10</w:t>
      </w:r>
      <w:r>
        <w:rPr>
          <w:sz w:val="28"/>
          <w:szCs w:val="28"/>
          <w:vertAlign w:val="superscript"/>
        </w:rPr>
        <w:t>-1</w:t>
      </w:r>
      <w:r>
        <w:rPr>
          <w:sz w:val="28"/>
          <w:szCs w:val="28"/>
        </w:rPr>
        <w:t>-10</w:t>
      </w:r>
      <w:r>
        <w:rPr>
          <w:sz w:val="28"/>
          <w:szCs w:val="28"/>
          <w:vertAlign w:val="superscript"/>
        </w:rPr>
        <w:t>-2</w:t>
      </w:r>
      <w:r>
        <w:rPr>
          <w:sz w:val="28"/>
          <w:szCs w:val="28"/>
        </w:rPr>
        <w:t xml:space="preserve"> мкм; </w:t>
      </w:r>
      <w:r>
        <w:rPr>
          <w:sz w:val="28"/>
          <w:szCs w:val="28"/>
          <w:lang w:val="en-US"/>
        </w:rPr>
        <w:t>III</w:t>
      </w:r>
      <w:r w:rsidRPr="00A20C4E">
        <w:rPr>
          <w:sz w:val="28"/>
          <w:szCs w:val="28"/>
        </w:rPr>
        <w:t xml:space="preserve"> - </w:t>
      </w:r>
      <w:r>
        <w:rPr>
          <w:sz w:val="28"/>
          <w:szCs w:val="28"/>
        </w:rPr>
        <w:t>δ≈10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 xml:space="preserve"> мкм.</w:t>
      </w:r>
    </w:p>
    <w:p w:rsidR="000F2A71" w:rsidRDefault="000F2A71" w:rsidP="000F2A7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Для объяснений этих зависимостей нужно, принять во вним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ние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что МП имеют островную структуру, т.е. при малом количестве осажденного металла частицы располагаются на диэлектрической подложке (основании) в виде отдельных разрозненных зерен - островков. Электропроводность МП возникает при некотором количестве осажденного мета</w:t>
      </w:r>
      <w:r>
        <w:rPr>
          <w:sz w:val="28"/>
          <w:szCs w:val="28"/>
        </w:rPr>
        <w:t>л</w:t>
      </w:r>
      <w:r>
        <w:rPr>
          <w:sz w:val="28"/>
          <w:szCs w:val="28"/>
        </w:rPr>
        <w:t>ла.</w:t>
      </w: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приложении электрического поля (в плоскости пленки) происходит переход электронов через узкие зазоры между соседними островками.</w:t>
      </w: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Механизмами, ответственными за перенос заряда, являются термоэлектронная эмиссия и </w:t>
      </w:r>
      <w:proofErr w:type="spellStart"/>
      <w:r>
        <w:rPr>
          <w:sz w:val="28"/>
          <w:szCs w:val="28"/>
        </w:rPr>
        <w:t>туннелирование</w:t>
      </w:r>
      <w:proofErr w:type="spellEnd"/>
      <w:r>
        <w:rPr>
          <w:sz w:val="28"/>
          <w:szCs w:val="28"/>
        </w:rPr>
        <w:t xml:space="preserve">; в частности туннелировать могут электроны, расположенные выше уровня Ферми, так как с увеличением температуры  поверхностное сопротивление участков подложки без зерен металла падает (свойство диэлектриков). Эти причины и обуславливают отрицательный </w:t>
      </w:r>
      <w:r>
        <w:rPr>
          <w:position w:val="-12"/>
          <w:sz w:val="28"/>
          <w:szCs w:val="28"/>
        </w:rPr>
        <w:object w:dxaOrig="440" w:dyaOrig="360">
          <v:shape id="_x0000_i1037" type="#_x0000_t75" style="width:21.9pt;height:18.15pt" o:ole="">
            <v:imagedata r:id="rId31" o:title=""/>
          </v:shape>
          <o:OLEObject Type="Embed" ProgID="Equation.3" ShapeID="_x0000_i1037" DrawAspect="Content" ObjectID="_1450858632" r:id="rId34"/>
        </w:object>
      </w:r>
      <w:r>
        <w:rPr>
          <w:sz w:val="28"/>
          <w:szCs w:val="28"/>
        </w:rPr>
        <w:t xml:space="preserve"> при малой толщине (уч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сток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).</w:t>
      </w: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увеличении количества осажденного металла величина зазора между островками уменьшается, проводимость пленок растет, отрицательный </w:t>
      </w:r>
      <w:r>
        <w:rPr>
          <w:position w:val="-12"/>
          <w:sz w:val="28"/>
          <w:szCs w:val="28"/>
        </w:rPr>
        <w:object w:dxaOrig="440" w:dyaOrig="360">
          <v:shape id="_x0000_i1038" type="#_x0000_t75" style="width:21.9pt;height:18.15pt" o:ole="">
            <v:imagedata r:id="rId31" o:title=""/>
          </v:shape>
          <o:OLEObject Type="Embed" ProgID="Equation.3" ShapeID="_x0000_i1038" DrawAspect="Content" ObjectID="_1450858633" r:id="rId35"/>
        </w:object>
      </w:r>
      <w:r>
        <w:rPr>
          <w:sz w:val="28"/>
          <w:szCs w:val="28"/>
        </w:rPr>
        <w:t xml:space="preserve"> уменьшается, а затем меняет знак. Значение толщины металла, при которой </w:t>
      </w:r>
      <w:r>
        <w:rPr>
          <w:position w:val="-12"/>
          <w:sz w:val="28"/>
          <w:szCs w:val="28"/>
        </w:rPr>
        <w:object w:dxaOrig="440" w:dyaOrig="360">
          <v:shape id="_x0000_i1039" type="#_x0000_t75" style="width:21.9pt;height:18.15pt" o:ole="">
            <v:imagedata r:id="rId31" o:title=""/>
          </v:shape>
          <o:OLEObject Type="Embed" ProgID="Equation.3" ShapeID="_x0000_i1039" DrawAspect="Content" ObjectID="_1450858634" r:id="rId36"/>
        </w:object>
      </w:r>
      <w:r>
        <w:rPr>
          <w:sz w:val="28"/>
          <w:szCs w:val="28"/>
        </w:rPr>
        <w:t xml:space="preserve"> меняет знак, зависит от рода 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талла.</w:t>
      </w: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процессе дальнейшей конденсации вещества на подложке происх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дит слияние островков и образуется проводящая цепочка, а затем </w:t>
      </w:r>
      <w:r>
        <w:rPr>
          <w:sz w:val="28"/>
          <w:szCs w:val="28"/>
        </w:rPr>
        <w:lastRenderedPageBreak/>
        <w:t>такая же цепочка сплошного однородного слоя. Однако и в сплошной пленке удельное электрическое сопротивление  больше, чем удельное сопротивление прово</w:t>
      </w:r>
      <w:r>
        <w:rPr>
          <w:sz w:val="28"/>
          <w:szCs w:val="28"/>
        </w:rPr>
        <w:t>д</w:t>
      </w:r>
      <w:r>
        <w:rPr>
          <w:sz w:val="28"/>
          <w:szCs w:val="28"/>
        </w:rPr>
        <w:t>ника. Это свидетельствует о высокой концентрации дефектов в кристаллич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ской решетке: дислокаций, границ зерен, образующихся при срастании ос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ровков, и т.д.</w:t>
      </w: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Увеличение удельного электрического сопротивления пленки способствует размерный эффект, т.е. сокращение длины свободного пробега электронов всле</w:t>
      </w:r>
      <w:r>
        <w:rPr>
          <w:sz w:val="28"/>
          <w:szCs w:val="28"/>
        </w:rPr>
        <w:t>д</w:t>
      </w:r>
      <w:r>
        <w:rPr>
          <w:sz w:val="28"/>
          <w:szCs w:val="28"/>
        </w:rPr>
        <w:t>ствие их отражения от поверхности образца.</w:t>
      </w: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Электронная теория  электропроводности металлов дает следующее объяснения этим явлениям. </w:t>
      </w:r>
      <w:proofErr w:type="gramStart"/>
      <w:r>
        <w:rPr>
          <w:sz w:val="28"/>
          <w:szCs w:val="28"/>
        </w:rPr>
        <w:t>Характер зарождения и роста пленки зависит от многих случайных факторов, поэтому трудно пол</w:t>
      </w:r>
      <w:r>
        <w:rPr>
          <w:sz w:val="28"/>
          <w:szCs w:val="28"/>
        </w:rPr>
        <w:t>у</w:t>
      </w:r>
      <w:r>
        <w:rPr>
          <w:sz w:val="28"/>
          <w:szCs w:val="28"/>
        </w:rPr>
        <w:t>чить точные сведения о</w:t>
      </w:r>
      <w:r>
        <w:rPr>
          <w:position w:val="-12"/>
          <w:sz w:val="28"/>
          <w:szCs w:val="28"/>
        </w:rPr>
        <w:object w:dxaOrig="320" w:dyaOrig="360">
          <v:shape id="_x0000_i1040" type="#_x0000_t75" style="width:20.65pt;height:23.15pt" o:ole="">
            <v:imagedata r:id="rId37" o:title=""/>
          </v:shape>
          <o:OLEObject Type="Embed" ProgID="Equation.3" ShapeID="_x0000_i1040" DrawAspect="Content" ObjectID="_1450858635" r:id="rId38"/>
        </w:object>
      </w:r>
      <w:r>
        <w:rPr>
          <w:sz w:val="28"/>
          <w:szCs w:val="28"/>
        </w:rPr>
        <w:t xml:space="preserve"> для пленок од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наковой толщины.</w:t>
      </w:r>
      <w:proofErr w:type="gramEnd"/>
      <w:r>
        <w:rPr>
          <w:sz w:val="28"/>
          <w:szCs w:val="28"/>
        </w:rPr>
        <w:t xml:space="preserve"> В связи с этим для сравнительной оценки проводящих свойств тонких МП пользуются параметром сопротивления квадрата </w:t>
      </w:r>
      <w:proofErr w:type="gramStart"/>
      <w:r>
        <w:rPr>
          <w:sz w:val="28"/>
          <w:szCs w:val="28"/>
          <w:lang w:val="en-US"/>
        </w:rPr>
        <w:t>R</w:t>
      </w:r>
      <w:proofErr w:type="gramEnd"/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>, численно равным сопротивлению участка пленки, длина которого равна ширина при прохождении тока через 2-е его противоположные грани параллельно поверхности по</w:t>
      </w:r>
      <w:r>
        <w:rPr>
          <w:sz w:val="28"/>
          <w:szCs w:val="28"/>
        </w:rPr>
        <w:t>д</w:t>
      </w:r>
      <w:r>
        <w:rPr>
          <w:sz w:val="28"/>
          <w:szCs w:val="28"/>
        </w:rPr>
        <w:t>ложки</w:t>
      </w:r>
    </w:p>
    <w:p w:rsidR="000F2A71" w:rsidRDefault="000F2A71" w:rsidP="000F2A71">
      <w:pPr>
        <w:ind w:firstLine="720"/>
        <w:jc w:val="both"/>
        <w:rPr>
          <w:sz w:val="28"/>
          <w:szCs w:val="28"/>
        </w:rPr>
      </w:pPr>
    </w:p>
    <w:p w:rsidR="000F2A71" w:rsidRDefault="000F2A71" w:rsidP="000F2A71">
      <w:pPr>
        <w:ind w:left="21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F4037F">
        <w:rPr>
          <w:position w:val="-12"/>
          <w:sz w:val="28"/>
          <w:szCs w:val="28"/>
        </w:rPr>
        <w:object w:dxaOrig="1340" w:dyaOrig="380">
          <v:shape id="_x0000_i1041" type="#_x0000_t75" style="width:67pt;height:18.8pt" o:ole="">
            <v:imagedata r:id="rId39" o:title=""/>
          </v:shape>
          <o:OLEObject Type="Embed" ProgID="Equation.3" ShapeID="_x0000_i1041" DrawAspect="Content" ObjectID="_1450858636" r:id="rId4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(7.19)</w:t>
      </w:r>
    </w:p>
    <w:p w:rsidR="000F2A71" w:rsidRPr="00BC4BAB" w:rsidRDefault="000F2A71" w:rsidP="000F2A71">
      <w:pPr>
        <w:ind w:firstLine="720"/>
        <w:jc w:val="both"/>
        <w:rPr>
          <w:sz w:val="28"/>
          <w:szCs w:val="28"/>
        </w:rPr>
      </w:pP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виду того, что не зависит от величины квадрата, сопротивление тонкопл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ночного резистора можно определить по формуле</w:t>
      </w:r>
    </w:p>
    <w:p w:rsidR="000F2A71" w:rsidRDefault="000F2A71" w:rsidP="000F2A71">
      <w:pPr>
        <w:ind w:firstLine="720"/>
        <w:jc w:val="both"/>
        <w:rPr>
          <w:sz w:val="28"/>
          <w:szCs w:val="28"/>
        </w:rPr>
      </w:pPr>
    </w:p>
    <w:p w:rsidR="000F2A71" w:rsidRDefault="000F2A71" w:rsidP="000F2A71">
      <w:pPr>
        <w:jc w:val="center"/>
        <w:rPr>
          <w:sz w:val="28"/>
          <w:szCs w:val="28"/>
        </w:rPr>
      </w:pPr>
      <w:r>
        <w:rPr>
          <w:sz w:val="28"/>
          <w:szCs w:val="28"/>
        </w:rPr>
        <w:tab/>
        <w:t xml:space="preserve">                             </w:t>
      </w:r>
      <w:r w:rsidRPr="00F4037F">
        <w:rPr>
          <w:position w:val="-28"/>
          <w:sz w:val="28"/>
          <w:szCs w:val="28"/>
        </w:rPr>
        <w:object w:dxaOrig="1260" w:dyaOrig="720">
          <v:shape id="_x0000_i1042" type="#_x0000_t75" style="width:63.25pt;height:36.3pt" o:ole="">
            <v:imagedata r:id="rId41" o:title=""/>
          </v:shape>
          <o:OLEObject Type="Embed" ProgID="Equation.3" ShapeID="_x0000_i1042" DrawAspect="Content" ObjectID="_1450858637" r:id="rId42"/>
        </w:object>
      </w:r>
      <w:r>
        <w:rPr>
          <w:sz w:val="28"/>
          <w:szCs w:val="28"/>
        </w:rPr>
        <w:t xml:space="preserve">                                                      (7.20)</w:t>
      </w:r>
    </w:p>
    <w:p w:rsidR="000F2A71" w:rsidRDefault="000F2A71" w:rsidP="000F2A71">
      <w:pPr>
        <w:jc w:val="both"/>
        <w:rPr>
          <w:sz w:val="28"/>
          <w:szCs w:val="28"/>
        </w:rPr>
      </w:pP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F4037F">
        <w:rPr>
          <w:i/>
          <w:sz w:val="28"/>
          <w:szCs w:val="28"/>
          <w:lang w:val="en-US"/>
        </w:rPr>
        <w:t>l</w:t>
      </w:r>
      <w:r w:rsidRPr="00F4037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длина резистора в направлении прохождения тока;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- ширина пле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ки.</w:t>
      </w:r>
    </w:p>
    <w:p w:rsidR="000F2A71" w:rsidRDefault="000F2A71" w:rsidP="000F2A71">
      <w:pPr>
        <w:ind w:firstLine="720"/>
        <w:jc w:val="both"/>
        <w:rPr>
          <w:sz w:val="28"/>
          <w:szCs w:val="28"/>
        </w:rPr>
      </w:pPr>
    </w:p>
    <w:p w:rsidR="000F2A71" w:rsidRDefault="000F2A71" w:rsidP="000F2A7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 изготовления тонкопленочных резисторов применяются пленки с </w:t>
      </w:r>
      <w:proofErr w:type="gramStart"/>
      <w:r>
        <w:rPr>
          <w:sz w:val="28"/>
          <w:szCs w:val="28"/>
          <w:lang w:val="en-US"/>
        </w:rPr>
        <w:t>R</w:t>
      </w:r>
      <w:proofErr w:type="gramEnd"/>
      <w:r>
        <w:rPr>
          <w:sz w:val="28"/>
          <w:szCs w:val="28"/>
          <w:vertAlign w:val="subscript"/>
          <w:lang w:val="kk-KZ"/>
        </w:rPr>
        <w:t>кв</w:t>
      </w:r>
      <w:r>
        <w:rPr>
          <w:sz w:val="28"/>
          <w:szCs w:val="28"/>
        </w:rPr>
        <w:t xml:space="preserve"> = 500 – 1000 Ом/квадрат. В качестве резистивных материалов используют тугопла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кие  металлы (вольфрам, молибден, хром и др.)</w:t>
      </w:r>
    </w:p>
    <w:p w:rsidR="00D36734" w:rsidRDefault="00D36734">
      <w:bookmarkStart w:id="0" w:name="_GoBack"/>
      <w:bookmarkEnd w:id="0"/>
    </w:p>
    <w:sectPr w:rsidR="00D367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A71"/>
    <w:rsid w:val="000F2A71"/>
    <w:rsid w:val="00D36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F2A71"/>
    <w:pPr>
      <w:ind w:firstLine="705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F2A7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F2A7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2A7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F2A71"/>
    <w:pPr>
      <w:ind w:firstLine="705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F2A7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F2A7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2A7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9.wmf"/><Relationship Id="rId26" Type="http://schemas.openxmlformats.org/officeDocument/2006/relationships/oleObject" Target="embeddings/oleObject9.bin"/><Relationship Id="rId39" Type="http://schemas.openxmlformats.org/officeDocument/2006/relationships/image" Target="media/image19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8.bin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image" Target="media/image13.wmf"/><Relationship Id="rId33" Type="http://schemas.openxmlformats.org/officeDocument/2006/relationships/image" Target="media/image17.png"/><Relationship Id="rId38" Type="http://schemas.openxmlformats.org/officeDocument/2006/relationships/oleObject" Target="embeddings/oleObject16.bin"/><Relationship Id="rId2" Type="http://schemas.microsoft.com/office/2007/relationships/stylesWithEffects" Target="stylesWithEffect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image" Target="media/image15.wmf"/><Relationship Id="rId41" Type="http://schemas.openxmlformats.org/officeDocument/2006/relationships/image" Target="media/image20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24" Type="http://schemas.openxmlformats.org/officeDocument/2006/relationships/image" Target="media/image12.png"/><Relationship Id="rId32" Type="http://schemas.openxmlformats.org/officeDocument/2006/relationships/oleObject" Target="embeddings/oleObject12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7.bin"/><Relationship Id="rId5" Type="http://schemas.openxmlformats.org/officeDocument/2006/relationships/image" Target="media/image1.wmf"/><Relationship Id="rId15" Type="http://schemas.openxmlformats.org/officeDocument/2006/relationships/image" Target="media/image7.png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6.bin"/><Relationship Id="rId31" Type="http://schemas.openxmlformats.org/officeDocument/2006/relationships/image" Target="media/image16.wmf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png"/><Relationship Id="rId22" Type="http://schemas.openxmlformats.org/officeDocument/2006/relationships/image" Target="media/image11.wmf"/><Relationship Id="rId27" Type="http://schemas.openxmlformats.org/officeDocument/2006/relationships/image" Target="media/image14.wmf"/><Relationship Id="rId30" Type="http://schemas.openxmlformats.org/officeDocument/2006/relationships/oleObject" Target="embeddings/oleObject11.bin"/><Relationship Id="rId35" Type="http://schemas.openxmlformats.org/officeDocument/2006/relationships/oleObject" Target="embeddings/oleObject14.bin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1305</Words>
  <Characters>7443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Назгуль Ердыбаева</dc:creator>
  <cp:lastModifiedBy>Назгуль Ердыбаева</cp:lastModifiedBy>
  <cp:revision>1</cp:revision>
  <dcterms:created xsi:type="dcterms:W3CDTF">2014-01-10T05:30:00Z</dcterms:created>
  <dcterms:modified xsi:type="dcterms:W3CDTF">2014-01-10T05:30:00Z</dcterms:modified>
</cp:coreProperties>
</file>