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140" w:rsidRPr="00F47140" w:rsidRDefault="00F47140" w:rsidP="00F47140">
      <w:pPr>
        <w:spacing w:before="100" w:beforeAutospacing="1" w:after="100" w:afterAutospacing="1" w:line="240" w:lineRule="auto"/>
        <w:outlineLvl w:val="0"/>
        <w:rPr>
          <w:rFonts w:ascii="Roboto" w:eastAsia="Times New Roman" w:hAnsi="Roboto" w:cs="Times New Roman"/>
          <w:color w:val="646464"/>
          <w:kern w:val="36"/>
          <w:sz w:val="48"/>
          <w:szCs w:val="48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kern w:val="36"/>
          <w:sz w:val="48"/>
          <w:szCs w:val="48"/>
          <w:lang w:eastAsia="ru-RU"/>
        </w:rPr>
        <w:t>ВЛИЯНИЕ ЧЕЛОВЕЧЕСКОГО ФАКТОРА НА НАДЕЖНОСТЬ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18"/>
          <w:szCs w:val="18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18"/>
          <w:szCs w:val="18"/>
          <w:lang w:eastAsia="ru-RU"/>
        </w:rPr>
        <w:t>Энергетические объекты, производящие один или два вида энергии (электрическую, тепловую) либо передающие их по своим сетям, являются сложными человеко-машинными системами, для которых характерны следующие основные свойства:</w:t>
      </w:r>
    </w:p>
    <w:p w:rsidR="00F47140" w:rsidRPr="00F47140" w:rsidRDefault="00F47140" w:rsidP="00F471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18"/>
          <w:szCs w:val="18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18"/>
          <w:szCs w:val="18"/>
          <w:lang w:eastAsia="ru-RU"/>
        </w:rPr>
        <w:t>• множественность нелинейных зависимостей между элементами, часть из которых носит неопределенный характер;</w:t>
      </w:r>
    </w:p>
    <w:p w:rsidR="00F47140" w:rsidRPr="00F47140" w:rsidRDefault="00F47140" w:rsidP="00F471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18"/>
          <w:szCs w:val="18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18"/>
          <w:szCs w:val="18"/>
          <w:lang w:eastAsia="ru-RU"/>
        </w:rPr>
        <w:t>• быстротечность технологических процессов;</w:t>
      </w:r>
    </w:p>
    <w:p w:rsidR="00F47140" w:rsidRPr="00F47140" w:rsidRDefault="00F47140" w:rsidP="00F471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18"/>
          <w:szCs w:val="18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18"/>
          <w:szCs w:val="18"/>
          <w:lang w:eastAsia="ru-RU"/>
        </w:rPr>
        <w:t>• сильная восприимчивость объектов к воздействиям окружающей среды;</w:t>
      </w:r>
    </w:p>
    <w:p w:rsidR="00F47140" w:rsidRPr="00F47140" w:rsidRDefault="00F47140" w:rsidP="00F471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18"/>
          <w:szCs w:val="18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18"/>
          <w:szCs w:val="18"/>
          <w:lang w:eastAsia="ru-RU"/>
        </w:rPr>
        <w:t>• непрерывность развития и постоянные изменения параметров;</w:t>
      </w:r>
    </w:p>
    <w:p w:rsidR="00F47140" w:rsidRPr="00F47140" w:rsidRDefault="00F47140" w:rsidP="00F471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18"/>
          <w:szCs w:val="18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18"/>
          <w:szCs w:val="18"/>
          <w:lang w:eastAsia="ru-RU"/>
        </w:rPr>
        <w:t>• большая инерционность в развитии и функционировании;</w:t>
      </w:r>
    </w:p>
    <w:p w:rsidR="00F47140" w:rsidRPr="00F47140" w:rsidRDefault="00F47140" w:rsidP="00F471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18"/>
          <w:szCs w:val="18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18"/>
          <w:szCs w:val="18"/>
          <w:lang w:eastAsia="ru-RU"/>
        </w:rPr>
        <w:t xml:space="preserve">• </w:t>
      </w:r>
      <w:proofErr w:type="spellStart"/>
      <w:r w:rsidRPr="00F47140">
        <w:rPr>
          <w:rFonts w:ascii="Roboto" w:eastAsia="Times New Roman" w:hAnsi="Roboto" w:cs="Times New Roman"/>
          <w:color w:val="646464"/>
          <w:sz w:val="18"/>
          <w:szCs w:val="18"/>
          <w:lang w:eastAsia="ru-RU"/>
        </w:rPr>
        <w:t>саморегулируемость</w:t>
      </w:r>
      <w:proofErr w:type="spellEnd"/>
      <w:r w:rsidRPr="00F47140">
        <w:rPr>
          <w:rFonts w:ascii="Roboto" w:eastAsia="Times New Roman" w:hAnsi="Roboto" w:cs="Times New Roman"/>
          <w:color w:val="646464"/>
          <w:sz w:val="18"/>
          <w:szCs w:val="18"/>
          <w:lang w:eastAsia="ru-RU"/>
        </w:rPr>
        <w:t>, включая адаптацию;</w:t>
      </w:r>
    </w:p>
    <w:p w:rsidR="00F47140" w:rsidRPr="00F47140" w:rsidRDefault="00F47140" w:rsidP="00F471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18"/>
          <w:szCs w:val="18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18"/>
          <w:szCs w:val="18"/>
          <w:lang w:eastAsia="ru-RU"/>
        </w:rPr>
        <w:t>• наличие механизма обратной связи;</w:t>
      </w:r>
    </w:p>
    <w:p w:rsidR="00F47140" w:rsidRPr="00F47140" w:rsidRDefault="00F47140" w:rsidP="00F471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18"/>
          <w:szCs w:val="18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18"/>
          <w:szCs w:val="18"/>
          <w:lang w:eastAsia="ru-RU"/>
        </w:rPr>
        <w:t>• совпадение во времени спроса на энергию и ее производства, что исключает возможности ее хранения.</w:t>
      </w:r>
    </w:p>
    <w:p w:rsidR="005F3F38" w:rsidRDefault="00F47140" w:rsidP="00F47140">
      <w:pPr>
        <w:rPr>
          <w:rFonts w:ascii="Roboto" w:eastAsia="Times New Roman" w:hAnsi="Roboto" w:cs="Times New Roman"/>
          <w:color w:val="646464"/>
          <w:sz w:val="18"/>
          <w:szCs w:val="18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18"/>
          <w:szCs w:val="18"/>
          <w:lang w:eastAsia="ru-RU"/>
        </w:rPr>
        <w:t xml:space="preserve">Для управления энергетическими объектами используются человеко-машинные системы (ЧМС), обеспечивающие восприятие и переработку огромного объема информации, часть которой имеет неопределенный характер. Функционирование </w:t>
      </w:r>
      <w:proofErr w:type="gramStart"/>
      <w:r w:rsidRPr="00F47140">
        <w:rPr>
          <w:rFonts w:ascii="Roboto" w:eastAsia="Times New Roman" w:hAnsi="Roboto" w:cs="Times New Roman"/>
          <w:color w:val="646464"/>
          <w:sz w:val="18"/>
          <w:szCs w:val="18"/>
          <w:lang w:eastAsia="ru-RU"/>
        </w:rPr>
        <w:t>таких</w:t>
      </w:r>
      <w:proofErr w:type="gramEnd"/>
      <w:r w:rsidRPr="00F47140">
        <w:rPr>
          <w:rFonts w:ascii="Roboto" w:eastAsia="Times New Roman" w:hAnsi="Roboto" w:cs="Times New Roman"/>
          <w:color w:val="646464"/>
          <w:sz w:val="18"/>
          <w:szCs w:val="18"/>
          <w:lang w:eastAsia="ru-RU"/>
        </w:rPr>
        <w:t xml:space="preserve"> ЧМС в большей степени зависит от «человеческого фактора», под которым понимается объективно присущая человеку неспособность в течение длительного времени безошибочно управлять человеко-машинными объектами, исключая их отказы с соответствующими негативными экономическими и социальными последствиями. Ошибки операторов возможны, поскольку они контролируют тысячи различных параметров. Например, под контролем оператора крупной ТЭС находятся около 1500 параметров, характеризующих работу парогенератора, турбины и электрического генератора</w:t>
      </w:r>
    </w:p>
    <w:p w:rsidR="00F47140" w:rsidRPr="00F47140" w:rsidRDefault="00F47140" w:rsidP="00F47140">
      <w:pPr>
        <w:spacing w:before="100" w:beforeAutospacing="1" w:after="100" w:afterAutospacing="1" w:line="240" w:lineRule="auto"/>
        <w:outlineLvl w:val="0"/>
        <w:rPr>
          <w:rFonts w:ascii="Roboto" w:eastAsia="Times New Roman" w:hAnsi="Roboto" w:cs="Times New Roman"/>
          <w:color w:val="646464"/>
          <w:kern w:val="36"/>
          <w:sz w:val="48"/>
          <w:szCs w:val="48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kern w:val="36"/>
          <w:sz w:val="48"/>
          <w:szCs w:val="48"/>
          <w:lang w:eastAsia="ru-RU"/>
        </w:rPr>
        <w:t>Принципы управления человеко-машинными системами в энергетике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Человек остается в этой системе управления решающим звеном. Высокая гибкость и адаптация к изменениям условий, интуиция, способность к прогнозированию, предвидению развития событий, принятию решений в сложных ситуациях при наличии нескольких противоречивых или неопределенных критериев являются чисто человеческими качествами. Место человека в ЧМС определяется характером его основных функций: принимать решения, быть резервом технических управляющих систем в случае их отказов и обеспечивать содержание оборудования в надежном работоспособном состоянии.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В то же время технические объекты имеют преимущества перед человеком в быстродействии при выполнении операций, высокой точности, больших нагрузках и т. п.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Основной стратегией обеспечения надежности ЧМС, управляющих энергетическими объектами, стало наилучшее использование свойств, присущих человеку, в сочетании с преимуществами ЧМС. Суть этого принципа сводится, во-первых, к компенсации недостатков человека за счет преимуществ машин, а </w:t>
      </w: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lastRenderedPageBreak/>
        <w:t>во-вторых, к полному использованию его достоинств путем создания соответствующих технических систем управления.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Основным механизмом, обеспечивающим реализацию принципа синтеза достоинств человека и технических систем управления ЧМС, является создание адаптивных автоматизированных систем управления (ААСУ) ЧМС.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Создание ААСУ ЧМС, сочетающих достоинства человека и технических систем управления, а также автоматизированных систем управления технологическими процессами (АСУ ТП) энергетических объектов позволило существенно сократить ошибочные действия персонала при их функционировании.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Полностью исключить «человеческий фактор» при управлении энергетическими объектами не удается, поскольку внедрение АСУ ТП превращает человека в пассивный элемент, при этом отсутствие практики активного управления, монотонность в работе оператора снижает остроту его реакции, ухудшает оперативное мышление и приводит к потере бдительности. Этому способствует и подмена физического объекта управления его информационной моделью (мнемосхемой, табло и т. п.), отчуждающей оператора от его реального функционирования, вследствие чего реальная цель действий оператора - управлять объектом - замещается игровой: сохранить или создать заданное расположение индексов на приборной панели. Это снижает значимость основной цели управления и меру ответственности за совершаемые действия.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Для повышения эффективности действий операторов при управлении автоматизированными энергетическими объектами наука и практика используют разные механизмы и средства. Основным </w:t>
      </w:r>
      <w:proofErr w:type="spell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эмоциональноволевым</w:t>
      </w:r>
      <w:proofErr w:type="spell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качеством, которым должен обладать оператор, управляющий энергетическим объектом, является готовность к экстренным действиям и способность мобилизовать все свои силы в момент наступления аварии. Поэтому необходимо использовать соответствующие процедуры профессионального отбора операторов, обучать их и проводить периодические тренировки в условиях, близких к реальным условиям их работы. Такая практика обучения и тренировок диспетчеров позволяет поддерживать их рабочий тонус и снижать влияние «человеческого фактора» при управлении энергетическими объектами.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Для снижения действия «человеческого фактора» разрабатываются методы управления состояниями операторов, нацеленные на активизацию естественных психологических процессов, к которым относятся методы психологического воздействия и социальные методы, направленные на коррекцию режимов труда и отдыха, улучшение санитарно- гигиенических и эстетических условий работы и др.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В последние годы в дополнение к традиционным </w:t>
      </w:r>
      <w:proofErr w:type="spell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инженернопсихологическим</w:t>
      </w:r>
      <w:proofErr w:type="spell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методам снижения влияния «человеческого фактора» при управлении энергетическими объектами (рис. 7.1) стали добавляться новые методы, основанные на концепции передачи функций принятия решений от человека к интеллектуальным техническим системам управления. Реализация этой концепции в будущем позволит если не исключить полностью влияние </w:t>
      </w: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lastRenderedPageBreak/>
        <w:t xml:space="preserve">«человеческого фактора», то, по крайней мере, существенно снизить его в управлении </w:t>
      </w:r>
      <w:proofErr w:type="gram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современными</w:t>
      </w:r>
      <w:proofErr w:type="gram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</w:t>
      </w:r>
      <w:proofErr w:type="spell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энергообъектами</w:t>
      </w:r>
      <w:proofErr w:type="spell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.</w:t>
      </w:r>
    </w:p>
    <w:p w:rsidR="00F47140" w:rsidRPr="00F47140" w:rsidRDefault="00F47140" w:rsidP="00F471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18460" cy="2865120"/>
            <wp:effectExtent l="19050" t="0" r="6090" b="0"/>
            <wp:docPr id="1" name="Рисунок 1" descr="Инженерно-психологические методы обеспечения надежности в управлении энергетическими объекта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Инженерно-психологические методы обеспечения надежности в управлении энергетическими объектами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2170" cy="28669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i/>
          <w:iCs/>
          <w:color w:val="646464"/>
          <w:sz w:val="24"/>
          <w:szCs w:val="24"/>
          <w:lang w:eastAsia="ru-RU"/>
        </w:rPr>
        <w:t>Рис. 7.1. </w:t>
      </w:r>
      <w:r w:rsidRPr="00F47140">
        <w:rPr>
          <w:rFonts w:ascii="Roboto" w:eastAsia="Times New Roman" w:hAnsi="Roboto" w:cs="Times New Roman"/>
          <w:b/>
          <w:bCs/>
          <w:i/>
          <w:iCs/>
          <w:color w:val="646464"/>
          <w:sz w:val="24"/>
          <w:szCs w:val="24"/>
          <w:lang w:eastAsia="ru-RU"/>
        </w:rPr>
        <w:t>Инженерно-психологические методы обеспечения надежности в управлении энергетическими объектами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Важнейшую роль человек играет в функционировании и развитии энергетических объектов - обеспечении содержания их технологического оборудования в надежном работоспособном состоянии, которое осуществляется посредством комплекса мероприятий технического, нормативного, организационного и экономического характера.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Важным звеном в обеспечении высокой надежности работы оборудования энергетических объектов является государственная система национальных стандартов, технических регламентов и стандартов организаций. </w:t>
      </w:r>
      <w:r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В</w:t>
      </w: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стране существовала система </w:t>
      </w:r>
      <w:proofErr w:type="spell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ГОСТов</w:t>
      </w:r>
      <w:proofErr w:type="spell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, </w:t>
      </w:r>
      <w:proofErr w:type="spell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СНиПов</w:t>
      </w:r>
      <w:proofErr w:type="spell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и Правил, определяющая единый организационный подход к обеспечению надежности оборудования на всех этапах его жизненного цикла. Ныне ее заменили системой общих и специальных регламентов в соответствии с </w:t>
      </w:r>
      <w:r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правилами </w:t>
      </w: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«О техническом регулировании» [1].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Проведенное реформирование отечественного технологически единого электроэнергетического комплекса с образованием сотен самостоятельных в хозяйственном отношении генерирующих, сетевых и сбытовых компаний существенно изменило в худшую сторону роль «человеческого фактора» в обеспечении безопасности отечественных энергетических объектов, поскольку основной целью их функционирования является получение прибыли, а не приоритет надежности и безопасности объектов. Следствиями изменения приоритетов деятельности самостоятельных в организационном и экономическом отношениях энергетических компаний являются многие нарастающие негативные тенденции, основными из которых являются следующие:</w:t>
      </w:r>
    </w:p>
    <w:p w:rsidR="00F47140" w:rsidRPr="00F47140" w:rsidRDefault="00F47140" w:rsidP="00F4714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lastRenderedPageBreak/>
        <w:t xml:space="preserve">1. Несоответствие темпов ввода генерирующих мощностей темпам роста спроса на энергию, что привело к появлению </w:t>
      </w:r>
      <w:proofErr w:type="spell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энергодефицитных</w:t>
      </w:r>
      <w:proofErr w:type="spell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регионов и снижению темпов роста ВВП и страны </w:t>
      </w:r>
      <w:proofErr w:type="gram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в</w:t>
      </w:r>
      <w:proofErr w:type="gram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.</w:t>
      </w:r>
    </w:p>
    <w:p w:rsidR="00F47140" w:rsidRPr="00F47140" w:rsidRDefault="00F47140" w:rsidP="00F4714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2. </w:t>
      </w:r>
      <w:proofErr w:type="gram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Нарастание физического и морального износа основного технологического оборудования производства, транспорта, передачи и распределения энергии, что снижает технологический и экономический потенциалы электроэнергетики: уровень износа достигает на ТЭС 64 % (а на ряде ТЭЦ - 80 %), в сетях ФСК - 45 % и на подстанционном оборудовании МРСК - 65 %. Более удручающие данные относительно износа оборудования отечественной электроэнергетики показывает исследование, выполненное в 2009 г. по принятой в мировом</w:t>
      </w:r>
      <w:proofErr w:type="gram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</w:t>
      </w:r>
      <w:proofErr w:type="gram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сообществе</w:t>
      </w:r>
      <w:proofErr w:type="gram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методике оценки его физического износа (табл. 7.1).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По этой методике обследовано техническое состояние основного энергетического оборудования тепловых и гидроэлектростанций. В общей сложности были исследованы доступные данные годовых отчетов генерирующих компаний по 1523 турбинам, установленным на 310 ТЭС, 2140 котлам, работающим на 295 ТЭС, и 173 трансформаторам, установленным на 266 ТЭС. По ГЭС исследовались доступные данные об износе 502 гидротурбин, действующих на 110 ГЭС, 435 генераторов, установленных на 105 ГЭС, и 387 трансформаторов, работающих на 87 ГЭС.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Таблица 7.1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i/>
          <w:iCs/>
          <w:color w:val="646464"/>
          <w:sz w:val="24"/>
          <w:szCs w:val="24"/>
          <w:lang w:eastAsia="ru-RU"/>
        </w:rPr>
        <w:t>Классификация физического износа оборудования по методологии компании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proofErr w:type="spellStart"/>
      <w:r w:rsidRPr="00F47140">
        <w:rPr>
          <w:rFonts w:ascii="Roboto" w:eastAsia="Times New Roman" w:hAnsi="Roboto" w:cs="Times New Roman"/>
          <w:i/>
          <w:iCs/>
          <w:color w:val="646464"/>
          <w:sz w:val="24"/>
          <w:szCs w:val="24"/>
          <w:lang w:eastAsia="ru-RU"/>
        </w:rPr>
        <w:t>Deloitte</w:t>
      </w:r>
      <w:proofErr w:type="spellEnd"/>
      <w:r w:rsidRPr="00F47140">
        <w:rPr>
          <w:rFonts w:ascii="Roboto" w:eastAsia="Times New Roman" w:hAnsi="Roboto" w:cs="Times New Roman"/>
          <w:i/>
          <w:iCs/>
          <w:color w:val="646464"/>
          <w:sz w:val="24"/>
          <w:szCs w:val="24"/>
          <w:lang w:eastAsia="ru-RU"/>
        </w:rPr>
        <w:t xml:space="preserve"> </w:t>
      </w:r>
      <w:proofErr w:type="spellStart"/>
      <w:r w:rsidRPr="00F47140">
        <w:rPr>
          <w:rFonts w:ascii="Roboto" w:eastAsia="Times New Roman" w:hAnsi="Roboto" w:cs="Times New Roman"/>
          <w:i/>
          <w:iCs/>
          <w:color w:val="646464"/>
          <w:sz w:val="24"/>
          <w:szCs w:val="24"/>
          <w:lang w:eastAsia="ru-RU"/>
        </w:rPr>
        <w:t>Touche</w:t>
      </w:r>
      <w:proofErr w:type="spellEnd"/>
      <w:r w:rsidRPr="00F47140">
        <w:rPr>
          <w:rFonts w:ascii="Roboto" w:eastAsia="Times New Roman" w:hAnsi="Roboto" w:cs="Times New Roman"/>
          <w:i/>
          <w:iCs/>
          <w:color w:val="646464"/>
          <w:sz w:val="24"/>
          <w:szCs w:val="24"/>
          <w:lang w:eastAsia="ru-RU"/>
        </w:rPr>
        <w:t xml:space="preserve"> </w:t>
      </w:r>
      <w:proofErr w:type="spellStart"/>
      <w:r w:rsidRPr="00F47140">
        <w:rPr>
          <w:rFonts w:ascii="Roboto" w:eastAsia="Times New Roman" w:hAnsi="Roboto" w:cs="Times New Roman"/>
          <w:i/>
          <w:iCs/>
          <w:color w:val="646464"/>
          <w:sz w:val="24"/>
          <w:szCs w:val="24"/>
          <w:lang w:eastAsia="ru-RU"/>
        </w:rPr>
        <w:t>Tohmatsu</w:t>
      </w:r>
      <w:proofErr w:type="spellEnd"/>
      <w:r w:rsidRPr="00F47140">
        <w:rPr>
          <w:rFonts w:ascii="Roboto" w:eastAsia="Times New Roman" w:hAnsi="Roboto" w:cs="Times New Roman"/>
          <w:i/>
          <w:iCs/>
          <w:color w:val="646464"/>
          <w:sz w:val="24"/>
          <w:szCs w:val="24"/>
          <w:lang w:eastAsia="ru-RU"/>
        </w:rPr>
        <w:t xml:space="preserve"> </w:t>
      </w:r>
      <w:proofErr w:type="spellStart"/>
      <w:r w:rsidRPr="00F47140">
        <w:rPr>
          <w:rFonts w:ascii="Roboto" w:eastAsia="Times New Roman" w:hAnsi="Roboto" w:cs="Times New Roman"/>
          <w:i/>
          <w:iCs/>
          <w:color w:val="646464"/>
          <w:sz w:val="24"/>
          <w:szCs w:val="24"/>
          <w:lang w:eastAsia="ru-RU"/>
        </w:rPr>
        <w:t>Limited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56"/>
        <w:gridCol w:w="1110"/>
        <w:gridCol w:w="3027"/>
        <w:gridCol w:w="4282"/>
      </w:tblGrid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Степень</w:t>
            </w:r>
          </w:p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износа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Состояние</w:t>
            </w:r>
          </w:p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оборудования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Характеристика состояния оборудования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0...5 %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Новое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Новое, установленное и еще не эксплуатировавшееся оборудование в отличном состоянии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5...17%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Очень хорошее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Бывшее в эксплуатации оборудование, полностью отремонтированное или реконструированное, в хорошем состоянии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17...33 %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Хорошее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То же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33...50%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Удовлетворительное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 xml:space="preserve">Бывшее в эксплуатации оборудование, требующее </w:t>
            </w: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lastRenderedPageBreak/>
              <w:t>некоторого ремонта или замены отдельных мелких частей, таких как подшипники, вкладыши и др.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lastRenderedPageBreak/>
              <w:t>50...67%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Условно</w:t>
            </w:r>
          </w:p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пригодное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Бывшее в эксплуатации оборудование в состоянии, пригодном для дальнейшей эксплуатации, но требующее значительного ремонта или замены главных частей, таких как двигатель, и других ответственных узлов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67...83 %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F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Неудовлетворительное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Бывшее в эксплуатации оборудование, требующее капитального ремонта, такого как замена рабочих органов основных агрегатов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83...95 %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proofErr w:type="gramStart"/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Непригодное</w:t>
            </w:r>
            <w:proofErr w:type="gramEnd"/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 xml:space="preserve"> к применению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Бывшее в эксплуатации оборудование, непригодное к дальнейшему использованию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&gt; 95 %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Лом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Оборудование, в отношении которого нет разумных перспектив на продажу, кроме как по стоимости основных материалов, которые можно из него извлечь</w:t>
            </w:r>
          </w:p>
        </w:tc>
      </w:tr>
    </w:tbl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Произведены расчеты физического износа по всем указанным типам оборудования. Степень физического износа определена как отношение наработанного срока службы агрегатов к его нормативному значению.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В качестве нормативного срока службы турбин использовались их парковый ресурс и индивидуальный ресурс. Парковый ресурс - это время наработки энергетического оборудования, которое обеспечивает безаварийную работу при соблюдении требований нормативно-технической документации; он устанавливается заводом-изготовителем и указывается в техпаспорте конкретного агрегата. Индивидуальный ресурс - это суммарное время наработки, при достижении которого эксплуатация оборудования должна быть прекращена независимо от его технического состояния; его значение установлено до начала 2009 г. Для возможности сравнения износа разного оборудования использован показатель удельного физического износа, рассчитанный как физический износ, нормированный на единицу установленной мощности оборудования.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Оба показателя физического износа, номинальный и удельный, рассчитывались по абсолютной шкале, равной 100%, при этом значение износа более 100 % </w:t>
      </w: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lastRenderedPageBreak/>
        <w:t>показывает, как долго оборудование продолжает работать при полностью выработанном парковом (индивидуальном) ресурсе.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Списки крупных ТЭС с наиболее изношенным оборудованием приведены в табл. 7.2. Анализ данных показывает, что на большинстве крупных ТЭС вероятность экологических катастроф весьма велика, для этого достаточно наличие какого-либо одного фактора угроз, как это случилось с турбиной на Саяно-Шушенской ГЭС, на которой ремонтные рабочие «не докрутили» гайки на крышке.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Таблица 7.2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i/>
          <w:iCs/>
          <w:color w:val="646464"/>
          <w:sz w:val="24"/>
          <w:szCs w:val="24"/>
          <w:lang w:eastAsia="ru-RU"/>
        </w:rPr>
        <w:t>Крупнейшие ТЭС (более 2000 МВт) с самым изношенным оборудованием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08"/>
        <w:gridCol w:w="3423"/>
        <w:gridCol w:w="2832"/>
        <w:gridCol w:w="1112"/>
      </w:tblGrid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ТЭС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Установленная электрическая мощность, МВт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 xml:space="preserve">Удельный физический износ </w:t>
            </w:r>
            <w:proofErr w:type="spellStart"/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турбин,%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Группа</w:t>
            </w:r>
          </w:p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износа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proofErr w:type="spellStart"/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Заинская</w:t>
            </w:r>
            <w:proofErr w:type="spellEnd"/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 xml:space="preserve"> ГРЭС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2400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111,7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Н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Костромская ГРЭС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3600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96,49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Н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proofErr w:type="spellStart"/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Сургутская</w:t>
            </w:r>
            <w:proofErr w:type="spellEnd"/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 xml:space="preserve"> ГРЭС-1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3280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95,33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Н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proofErr w:type="spellStart"/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Ириклинская</w:t>
            </w:r>
            <w:proofErr w:type="spellEnd"/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 xml:space="preserve"> ГРЭС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2400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93,53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G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proofErr w:type="spellStart"/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Рефтинская</w:t>
            </w:r>
            <w:proofErr w:type="spellEnd"/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 xml:space="preserve"> ГРЭС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3800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92,34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G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Ставропольская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2400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92,27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G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Пермская ГРЭС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2400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90,7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G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proofErr w:type="spellStart"/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Сургутская</w:t>
            </w:r>
            <w:proofErr w:type="spellEnd"/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 xml:space="preserve"> ГРЭС-2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4800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89,88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G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Рязанская ГРЭС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2650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88,81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G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proofErr w:type="spellStart"/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Киришская</w:t>
            </w:r>
            <w:proofErr w:type="spellEnd"/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 xml:space="preserve"> ГРЭС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2100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83,89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G</w:t>
            </w:r>
          </w:p>
        </w:tc>
      </w:tr>
    </w:tbl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1. Снижение надежности и безопасности внешнего энергоснабжения потребителей из-за нарастающего физического износа энергетического оборудования и несоблюдение технологических стандартов его текущего обслуживания и эксплуатации.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lastRenderedPageBreak/>
        <w:t>В последние годы существенно возросло количество аварийных отключений энергоснабжения не только в системах электроснабжения, но и во всех системах ТЭК по многим причинам. Первопричиной этих отключений во многих случаях является превалирование экономического интереса собственников и менеджмента компаний в виде получения высокой прибыли.</w:t>
      </w:r>
    </w:p>
    <w:p w:rsidR="00F47140" w:rsidRPr="00F47140" w:rsidRDefault="00F47140" w:rsidP="00F4714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2. Рост удельных расходов топлива на производство электрической и тепловой энергии и потерь в электрических и тепловых сетях вследствие высокого износа оборудования и его эксплуатации в неоптимальных режимах. Это приводит к необоснованному повышению тарифов на энергию.</w:t>
      </w:r>
    </w:p>
    <w:p w:rsidR="00F47140" w:rsidRPr="00F47140" w:rsidRDefault="00F47140" w:rsidP="00F4714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3. Увеличение нагрузки на окружающую среду вследствие эксплуатации устаревшего энергетического оборудования, что не позволяет России не только выполнять в ближайшие годы обязательства по Киотскому соглашению, но и обеспечить экологически безопасную среду обитания для своих граждан.</w:t>
      </w:r>
    </w:p>
    <w:p w:rsidR="00F47140" w:rsidRPr="00F47140" w:rsidRDefault="00F47140" w:rsidP="00F4714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4. Неразвитость и асимметричность транспортной инфраструктуры ТЭК в целом и энергетического его сектора в частности. Развитие транспортной и распределительной инфраструктуры отечественного ТЭК изначально осуществлялось с первоочередной ориентацией на энергоснабжение крупных промышленных городов и центров, ориентированных на экспорт ТЭР, а территории с низкой плотностью спроса на энергию оставались без центрального энергоснабжения.</w:t>
      </w:r>
    </w:p>
    <w:p w:rsidR="00F47140" w:rsidRPr="00F47140" w:rsidRDefault="00F47140" w:rsidP="00F4714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5. Снижение энергетической безопасности страны из-за появления новых угроз внешнего и внутреннего характера.</w:t>
      </w:r>
    </w:p>
    <w:p w:rsidR="00F47140" w:rsidRPr="00F47140" w:rsidRDefault="00F47140" w:rsidP="00F4714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6. Слабость государственного нормативного и технологического управления и регулирования в электроэнергетике.</w:t>
      </w:r>
    </w:p>
    <w:p w:rsidR="00F47140" w:rsidRPr="00F47140" w:rsidRDefault="00F47140" w:rsidP="00F4714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7. Несоответствие технического уровня российского </w:t>
      </w:r>
      <w:proofErr w:type="spell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электро</w:t>
      </w:r>
      <w:proofErr w:type="spell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- и энергомашиностроения потребностям инновационного развития отечественной электроэнергетики.</w:t>
      </w:r>
    </w:p>
    <w:p w:rsidR="00F47140" w:rsidRPr="00F47140" w:rsidRDefault="00F47140" w:rsidP="00F4714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8. Конфликт экономических интересов вновь созданных в ходе реформирования отечественной электроэнергетики энергетических компаний, работающих в конкурентных секторах энергетического рынка и регулируемых секторах, имеющих монопольный характер.</w:t>
      </w:r>
    </w:p>
    <w:p w:rsidR="00F47140" w:rsidRPr="00F47140" w:rsidRDefault="00F47140" w:rsidP="00F4714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9. Отсутствие профессиональных знаний у персонала многих энергетических компаний, и особенно у их менеджмента, поскольку рыночные отношения вытеснили из руководства компаний </w:t>
      </w:r>
      <w:proofErr w:type="spell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професси</w:t>
      </w:r>
      <w:proofErr w:type="gram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о</w:t>
      </w:r>
      <w:proofErr w:type="spell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-</w:t>
      </w:r>
      <w:proofErr w:type="gram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</w:t>
      </w:r>
      <w:proofErr w:type="spell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налов-энергетиков</w:t>
      </w:r>
      <w:proofErr w:type="spell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. Это привело к крупным авариям в российской электроэнергетике с большими потерями: в 2005 г. - на подстанции </w:t>
      </w:r>
      <w:proofErr w:type="spell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Чагино</w:t>
      </w:r>
      <w:proofErr w:type="spell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в </w:t>
      </w:r>
      <w:proofErr w:type="spell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Мосэнегро</w:t>
      </w:r>
      <w:proofErr w:type="spell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и в 2009 г. на Саяно-Шушенской ГЭС.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outlineLvl w:val="0"/>
        <w:rPr>
          <w:rFonts w:ascii="Roboto" w:eastAsia="Times New Roman" w:hAnsi="Roboto" w:cs="Times New Roman"/>
          <w:color w:val="646464"/>
          <w:kern w:val="36"/>
          <w:sz w:val="48"/>
          <w:szCs w:val="48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kern w:val="36"/>
          <w:sz w:val="48"/>
          <w:szCs w:val="48"/>
          <w:lang w:eastAsia="ru-RU"/>
        </w:rPr>
        <w:t>Подготовка и переподготовка персонала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Наиболее успешным способом повышения качества труда персонала является набор наиболее квалифицированных и способных претендентов. Программы систематического обучения и подготовки персонала способствуют полному раскрытию возможностей.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lastRenderedPageBreak/>
        <w:t>Термином «персонал» обозначают всех работников, выполняющих производственные и управленческие операции. По участию в производственном процессе выделяют основные категории персонала: рабочие и служащие.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Рабочие (производственный персонал) осуществляют трудовую деятельность в материальном производстве с преобладающей долей физического труда.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Служащие (управленческий персонал) осуществляют трудовую деятельность в процессе управления производством с преобладающей долей умственного труда. Основным результатом их труда является разрешение проблем в управлении, создание новой информации, изменение ее содержания или формы, подготовка управленческих решений, реализация и контроль исполнения. Управленческий персонал разделяется на руководителей и специалистов.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Одним из наиболее эффективных способов обеспечения соответствия работников должностным обязанностям остается общий порядок повышения квалификации, целью которого является целенаправленное непрерывное совершенствование профессиональных компетенций (знаний, умений и навыков) в профессиональной области.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Главными задачами повышения квалификации являются:</w:t>
      </w:r>
    </w:p>
    <w:p w:rsidR="00F47140" w:rsidRPr="00F47140" w:rsidRDefault="00F47140" w:rsidP="00F4714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обновление и углубление знаний в профессиональной области, обеспечивающих безопасность, надежность и эффективность на основе современных достижений науки и прогрессивной техники и технологий;</w:t>
      </w:r>
    </w:p>
    <w:p w:rsidR="00F47140" w:rsidRPr="00F47140" w:rsidRDefault="00F47140" w:rsidP="00F4714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ознакомление с новейшими технологиями, оборудованием и приборами, перспективами развития и эффективностью их использования;</w:t>
      </w:r>
    </w:p>
    <w:p w:rsidR="00F47140" w:rsidRPr="00F47140" w:rsidRDefault="00F47140" w:rsidP="00F4714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освоение отечественного и зарубежного опыта, форм, методов и средств обеспечения надежности;</w:t>
      </w:r>
    </w:p>
    <w:p w:rsidR="00F47140" w:rsidRPr="00F47140" w:rsidRDefault="00F47140" w:rsidP="00F4714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развитие навыков поиска, реализации и управления техническими и технологическими решениями в области рационального использования технических средств обеспечения надежности.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outlineLvl w:val="0"/>
        <w:rPr>
          <w:rFonts w:ascii="Roboto" w:eastAsia="Times New Roman" w:hAnsi="Roboto" w:cs="Times New Roman"/>
          <w:color w:val="646464"/>
          <w:kern w:val="36"/>
          <w:sz w:val="48"/>
          <w:szCs w:val="48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kern w:val="36"/>
          <w:sz w:val="48"/>
          <w:szCs w:val="48"/>
          <w:lang w:eastAsia="ru-RU"/>
        </w:rPr>
        <w:t>Знания - инструмент роста квалификации персонала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В организации и вне ее происходит непрерывный процесс движения информации и знаний. Знания поступают в организацию в разнообразных формах (набор персонала, повышение квалификации, изучение специальной литературы, приобретение лицензий), формируются и развиваются в процессе проектной, инженерно-технической, производственно-технологической и маркетинговой деятельности.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Знания движутся в форме человеческого капитала при перемещении рабочей силы, при оказании и получении консалтинговых услуг, а также в виде интеллектуальных продуктов. </w:t>
      </w:r>
      <w:proofErr w:type="gram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К</w:t>
      </w:r>
      <w:proofErr w:type="gram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</w:t>
      </w:r>
      <w:proofErr w:type="gram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последним</w:t>
      </w:r>
      <w:proofErr w:type="gram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относятся: результаты фундаментальных исследований, результаты НИОКР, техническая документация, компьютерные программы, лицензии и т. п.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lastRenderedPageBreak/>
        <w:t>Таким образом, в каждой организации, вне зависимости от сферы ее деятельности и степени взаимодействия с внешним миром, осуществляется непрерывный процесс движения знаний большей или меньшей степени интенсивности.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Знания, интеллектуальный капитал, нематериальные активы, интеллектуальная собственность рассматриваются как новый источник богатства, как важный фактор приобретения конкурентных преимуществ.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В структуре собственности ряда известных транснациональных компаний, рыночная стоимость которых составляет десятки миллиардов долларов, интеллектуальный капитал, нематериальные активы составляют значительную и постоянно увеличивающуюся часть. Нематериальные активы включают:</w:t>
      </w:r>
    </w:p>
    <w:p w:rsidR="00F47140" w:rsidRPr="00F47140" w:rsidRDefault="00F47140" w:rsidP="00F4714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человеческие активы - знания, опыт, мастерство, творчество;</w:t>
      </w:r>
    </w:p>
    <w:p w:rsidR="00F47140" w:rsidRPr="00F47140" w:rsidRDefault="00F47140" w:rsidP="00F4714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интеллектуальные активы - корпоративная культура, философия управления, стратегия и программы, бизнес-процессы;</w:t>
      </w:r>
    </w:p>
    <w:p w:rsidR="00F47140" w:rsidRPr="00F47140" w:rsidRDefault="00F47140" w:rsidP="00F4714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активы интеллектуальной собственности - патенты, авторские и издательские права, торговые марки, коммерческие секреты;</w:t>
      </w:r>
    </w:p>
    <w:p w:rsidR="00F47140" w:rsidRPr="00F47140" w:rsidRDefault="00F47140" w:rsidP="00F4714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структурные активы - распределение полномочий связи и отношения внутри и вне компании, правила и процедуры принятия решений, система стимулирования персонала, стандарты и регламенты;</w:t>
      </w:r>
    </w:p>
    <w:p w:rsidR="00F47140" w:rsidRPr="00F47140" w:rsidRDefault="00F47140" w:rsidP="00F4714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• </w:t>
      </w:r>
      <w:proofErr w:type="spellStart"/>
      <w:proofErr w:type="gram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бренд-активы</w:t>
      </w:r>
      <w:proofErr w:type="spellEnd"/>
      <w:proofErr w:type="gram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- известность, репутация, доброе имя компании.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Проблематика управления знаниями активно исследуется и обсуждается со второй половины 90-х гг. прошлого века в связи с ростом роли человеческих ресурсов, организационного управления и информационных технологий в повышении эффективности современных компаний.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Сложившаяся в России система получения общего и профессионального образования вписывается в концепцию регулярного повышения квалификации персонала.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В энергетической отрасли почти одновременно с появлением самой отрасли появилась система подготовки и аттестации кадров; много лет существует система отраслевых центров (институтов) повышения квалификации, учебно-методических центров для подготовки и переподготовки кадрового состава отрасли. Таким образом, в </w:t>
      </w:r>
      <w:proofErr w:type="spellStart"/>
      <w:r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Казастане</w:t>
      </w:r>
      <w:proofErr w:type="spell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успешно действует уже в течение многих лет система непрерывного образования.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В соответствии с методологией системного анализа, в жизненном цикле знаний можно выделить три основных процесса (этапа):</w:t>
      </w:r>
    </w:p>
    <w:p w:rsidR="00F47140" w:rsidRPr="00F47140" w:rsidRDefault="00F47140" w:rsidP="00F4714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выявление потребности в знаниях;</w:t>
      </w:r>
    </w:p>
    <w:p w:rsidR="00F47140" w:rsidRPr="00F47140" w:rsidRDefault="00F47140" w:rsidP="00F4714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производство (создание) знаний;</w:t>
      </w:r>
    </w:p>
    <w:p w:rsidR="00F47140" w:rsidRPr="00F47140" w:rsidRDefault="00F47140" w:rsidP="00F4714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потребление (утилизация) знаний.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Персонал компании участвует в пополнении знаний в результате осознания разрыва в их текущем и целевом состоянии. Выявление таких разрывов (проблем) компании инициирует в системе деятельность по обучению, которая </w:t>
      </w: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lastRenderedPageBreak/>
        <w:t>ведет к появлению догадок, суждений, теорий и предложений относительно способов решения проблем. По мере обучения и генерации новых знаний формируются группы коллективного обсуждения, где происходит неформальный обмен идеями и их критический доброжелательный анализ. Процесс управляемого обмена и распространения знаний является процессом интеграции (потребления, использования) знаний.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Интегрированное знание хранится в двух формах:</w:t>
      </w:r>
    </w:p>
    <w:p w:rsidR="00F47140" w:rsidRPr="00F47140" w:rsidRDefault="00F47140" w:rsidP="00F4714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ментально хранимое знание индивидуумов или групп (неявное знание):</w:t>
      </w:r>
    </w:p>
    <w:p w:rsidR="00F47140" w:rsidRPr="00F47140" w:rsidRDefault="00F47140" w:rsidP="00F4714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объективно хранимое знание в форме документов, файлов баз данных и т. п. (явные знания).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Объединение неявных и явных знаний организации может рассматриваться как распределенная база знаний организации.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В обширной литературе по этой проблеме, а так же в Европейской Концепции по управлению знаниями выделяют пять этапов (процессов).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Обычно выделяют пять основных этапов жизненного цикла знаний: выявление, создание, хранение, распространение и использование. Это обеспечивает поддержку бизнес-процессов организации. К способствующим факторам успешных бизнес-процессов необходимо отнести персональные способности сотрудников компании (стремления, мастерство, опыт, корпоративное поведение и т. п.) и способности организации как системы (понимание миссии, стратегии, структуры и процессов деятельности, а также инфраструктуры и технологий).</w:t>
      </w:r>
    </w:p>
    <w:p w:rsidR="00F47140" w:rsidRDefault="00F47140" w:rsidP="00F47140">
      <w:pPr>
        <w:pStyle w:val="1"/>
        <w:rPr>
          <w:rFonts w:ascii="Roboto" w:hAnsi="Roboto"/>
          <w:b w:val="0"/>
          <w:bCs w:val="0"/>
          <w:color w:val="646464"/>
        </w:rPr>
      </w:pPr>
      <w:r>
        <w:rPr>
          <w:rFonts w:ascii="Roboto" w:hAnsi="Roboto"/>
          <w:b w:val="0"/>
          <w:bCs w:val="0"/>
          <w:color w:val="646464"/>
        </w:rPr>
        <w:t>Идентификация (выявление) знаний</w:t>
      </w:r>
    </w:p>
    <w:p w:rsidR="00F47140" w:rsidRDefault="00F47140" w:rsidP="00F47140">
      <w:pPr>
        <w:pStyle w:val="a4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Идентификация знаний и выявление потребности в них для конкретной предметной области и конкретного вида деятельности. Первичным при этом является анализ стратегических целей производства и выявление необходимых для их достижения знаний.</w:t>
      </w:r>
    </w:p>
    <w:p w:rsidR="00F47140" w:rsidRDefault="00F47140" w:rsidP="00F47140">
      <w:pPr>
        <w:pStyle w:val="1"/>
        <w:rPr>
          <w:rFonts w:ascii="Roboto" w:hAnsi="Roboto"/>
          <w:b w:val="0"/>
          <w:bCs w:val="0"/>
          <w:color w:val="646464"/>
        </w:rPr>
      </w:pPr>
      <w:r>
        <w:rPr>
          <w:rFonts w:ascii="Roboto" w:hAnsi="Roboto"/>
          <w:b w:val="0"/>
          <w:bCs w:val="0"/>
          <w:color w:val="646464"/>
        </w:rPr>
        <w:t>Создание новых знаний</w:t>
      </w:r>
    </w:p>
    <w:p w:rsidR="00F47140" w:rsidRDefault="00F47140" w:rsidP="00F47140">
      <w:pPr>
        <w:pStyle w:val="a4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Создание новых знаний происходит при выполнении фундаментальных и прикладных НИР, в процессе деятельности аналитических и экспертных групп, при проектировании сложных объектов, процессов и систем.</w:t>
      </w:r>
    </w:p>
    <w:p w:rsidR="00F47140" w:rsidRDefault="00F47140" w:rsidP="00F47140">
      <w:pPr>
        <w:pStyle w:val="a4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На персональном или групповом (командном) уровне новые знания чаще всего являются результатом обучения, повышения квалификации, целенаправленного усвоения новой информации путем чтения профессиональных журналов и книг в традиционной или электронной форме, продуктом общения и взаимодействия при решении практических проблем и задач, результатом логического вывода на основе проб и ошибок.</w:t>
      </w:r>
    </w:p>
    <w:p w:rsidR="00F47140" w:rsidRDefault="00F47140" w:rsidP="00F47140">
      <w:pPr>
        <w:pStyle w:val="1"/>
        <w:rPr>
          <w:rFonts w:ascii="Roboto" w:hAnsi="Roboto"/>
          <w:b w:val="0"/>
          <w:bCs w:val="0"/>
          <w:color w:val="646464"/>
        </w:rPr>
      </w:pPr>
      <w:r>
        <w:rPr>
          <w:rFonts w:ascii="Roboto" w:hAnsi="Roboto"/>
          <w:b w:val="0"/>
          <w:bCs w:val="0"/>
          <w:color w:val="646464"/>
        </w:rPr>
        <w:lastRenderedPageBreak/>
        <w:t>Хранение знаний</w:t>
      </w:r>
    </w:p>
    <w:p w:rsidR="00F47140" w:rsidRDefault="00F47140" w:rsidP="00F47140">
      <w:pPr>
        <w:pStyle w:val="a4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Хранение знаний в организациях необходимо для формирования и наращивания активов знаний (интеллектуального капитала, баз знаний). Ввиду существенного различия явных и неявных знаний различаются и способы их хранения.</w:t>
      </w:r>
    </w:p>
    <w:p w:rsidR="00F47140" w:rsidRDefault="00F47140" w:rsidP="00F47140">
      <w:pPr>
        <w:pStyle w:val="a4"/>
        <w:rPr>
          <w:rFonts w:ascii="Roboto" w:hAnsi="Roboto"/>
          <w:color w:val="646464"/>
        </w:rPr>
      </w:pPr>
      <w:proofErr w:type="gramStart"/>
      <w:r>
        <w:rPr>
          <w:rFonts w:ascii="Roboto" w:hAnsi="Roboto"/>
          <w:color w:val="646464"/>
        </w:rPr>
        <w:t xml:space="preserve">Явные знания - текстовые документы, электронные таблицы, базы данных, Web-страницы, чертежи, схемы, почтовые сообщения и т. п. хранятся в специально создаваемых для этой цели </w:t>
      </w:r>
      <w:proofErr w:type="spellStart"/>
      <w:r>
        <w:rPr>
          <w:rFonts w:ascii="Roboto" w:hAnsi="Roboto"/>
          <w:color w:val="646464"/>
        </w:rPr>
        <w:t>репозитариях</w:t>
      </w:r>
      <w:proofErr w:type="spellEnd"/>
      <w:r>
        <w:rPr>
          <w:rFonts w:ascii="Roboto" w:hAnsi="Roboto"/>
          <w:color w:val="646464"/>
        </w:rPr>
        <w:t xml:space="preserve"> знаний.</w:t>
      </w:r>
      <w:proofErr w:type="gramEnd"/>
      <w:r>
        <w:rPr>
          <w:rFonts w:ascii="Roboto" w:hAnsi="Roboto"/>
          <w:color w:val="646464"/>
        </w:rPr>
        <w:t xml:space="preserve"> Техническую и технологическую основу такого рода хранилищ составляют компьютеры и информационные технологии, применяются соответствующие способы помещения, пополнения и извлечения знаний из </w:t>
      </w:r>
      <w:proofErr w:type="spellStart"/>
      <w:r>
        <w:rPr>
          <w:rFonts w:ascii="Roboto" w:hAnsi="Roboto"/>
          <w:color w:val="646464"/>
        </w:rPr>
        <w:t>репозитариев</w:t>
      </w:r>
      <w:proofErr w:type="spellEnd"/>
      <w:r>
        <w:rPr>
          <w:rFonts w:ascii="Roboto" w:hAnsi="Roboto"/>
          <w:color w:val="646464"/>
        </w:rPr>
        <w:t>.</w:t>
      </w:r>
    </w:p>
    <w:p w:rsidR="00F47140" w:rsidRDefault="00F47140" w:rsidP="00F47140">
      <w:pPr>
        <w:pStyle w:val="1"/>
        <w:rPr>
          <w:rFonts w:ascii="Roboto" w:hAnsi="Roboto"/>
          <w:b w:val="0"/>
          <w:bCs w:val="0"/>
          <w:color w:val="646464"/>
        </w:rPr>
      </w:pPr>
      <w:r>
        <w:rPr>
          <w:rFonts w:ascii="Roboto" w:hAnsi="Roboto"/>
          <w:b w:val="0"/>
          <w:bCs w:val="0"/>
          <w:color w:val="646464"/>
        </w:rPr>
        <w:t>Распространение знаний</w:t>
      </w:r>
    </w:p>
    <w:p w:rsidR="00F47140" w:rsidRDefault="00F47140" w:rsidP="00F47140">
      <w:pPr>
        <w:pStyle w:val="a4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 xml:space="preserve">Целью данного вида процесса является передача знаний в нужное место, в нужное время, с нужным качеством. Распространение знаний происходит многими способами. Знания могут распространяться через документы, книги и журналы, путем пополнения баз данных и баз знаний с телекоммуникационным доступом. Это так называемый «складской подход», когда потребители обращаются к легко </w:t>
      </w:r>
      <w:proofErr w:type="gramStart"/>
      <w:r>
        <w:rPr>
          <w:rFonts w:ascii="Roboto" w:hAnsi="Roboto"/>
          <w:color w:val="646464"/>
        </w:rPr>
        <w:t>доступному</w:t>
      </w:r>
      <w:proofErr w:type="gramEnd"/>
      <w:r>
        <w:rPr>
          <w:rFonts w:ascii="Roboto" w:hAnsi="Roboto"/>
          <w:color w:val="646464"/>
        </w:rPr>
        <w:t xml:space="preserve"> </w:t>
      </w:r>
      <w:proofErr w:type="spellStart"/>
      <w:r>
        <w:rPr>
          <w:rFonts w:ascii="Roboto" w:hAnsi="Roboto"/>
          <w:color w:val="646464"/>
        </w:rPr>
        <w:t>репозитарию</w:t>
      </w:r>
      <w:proofErr w:type="spellEnd"/>
      <w:r>
        <w:rPr>
          <w:rFonts w:ascii="Roboto" w:hAnsi="Roboto"/>
          <w:color w:val="646464"/>
        </w:rPr>
        <w:t xml:space="preserve"> знаний.</w:t>
      </w:r>
    </w:p>
    <w:p w:rsidR="00F47140" w:rsidRDefault="00F47140" w:rsidP="00F47140">
      <w:pPr>
        <w:pStyle w:val="a4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Большая часть знаний лучше всего передается от человека к человеку посредством общения, сотрудничества конференций и семинаров, тренингов и наставничества. Такая передача знаний именуется «потоковым подходом». Здесь особенно важным является создание благоприятной обстановки для обмена идеями и опытом.</w:t>
      </w:r>
    </w:p>
    <w:p w:rsidR="00F47140" w:rsidRDefault="00F47140" w:rsidP="00F47140">
      <w:pPr>
        <w:pStyle w:val="1"/>
        <w:rPr>
          <w:rFonts w:ascii="Roboto" w:hAnsi="Roboto"/>
          <w:b w:val="0"/>
          <w:bCs w:val="0"/>
          <w:color w:val="646464"/>
        </w:rPr>
      </w:pPr>
      <w:r>
        <w:rPr>
          <w:rFonts w:ascii="Roboto" w:hAnsi="Roboto"/>
          <w:b w:val="0"/>
          <w:bCs w:val="0"/>
          <w:color w:val="646464"/>
        </w:rPr>
        <w:t>Использование знаний</w:t>
      </w:r>
    </w:p>
    <w:p w:rsidR="00F47140" w:rsidRDefault="00F47140" w:rsidP="00F47140">
      <w:pPr>
        <w:pStyle w:val="a4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Знания и управление знаниями - не самоцель. Знание как интеллектуальный ресурс только тогда может что-то добавить к стоимости, если оно используется в компании. Множество знаний остаются неиспользованными, либо не используются повторно.</w:t>
      </w:r>
    </w:p>
    <w:p w:rsidR="00F47140" w:rsidRDefault="00F47140" w:rsidP="00F47140">
      <w:pPr>
        <w:pStyle w:val="a4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Использование знаний является завершающей стадией процесса. И формально, и фактически он является первым по важности, отправной точкой для того, чтобы знания создавались, хранились и распространялись. Именно в ходе использования знаний обнаруживаются разрывы в знаниях, на практике проверяется истинность «</w:t>
      </w:r>
      <w:proofErr w:type="spellStart"/>
      <w:r>
        <w:rPr>
          <w:rFonts w:ascii="Roboto" w:hAnsi="Roboto"/>
          <w:color w:val="646464"/>
        </w:rPr>
        <w:t>знаниевых</w:t>
      </w:r>
      <w:proofErr w:type="spellEnd"/>
      <w:r>
        <w:rPr>
          <w:rFonts w:ascii="Roboto" w:hAnsi="Roboto"/>
          <w:color w:val="646464"/>
        </w:rPr>
        <w:t xml:space="preserve"> утверждений», коммерческая полезность знаний в смысле повышения стоимости продукта или снижения затрат на его производство, приобретается новый опыт как источник новых знаний.</w:t>
      </w:r>
    </w:p>
    <w:p w:rsidR="00F47140" w:rsidRDefault="00F47140" w:rsidP="00F47140">
      <w:pPr>
        <w:pStyle w:val="a4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Компания должна стимулировать использование новых знаний различными формами признания и материальными поощрениями, продвижениями по службе.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outlineLvl w:val="0"/>
        <w:rPr>
          <w:rFonts w:ascii="Roboto" w:eastAsia="Times New Roman" w:hAnsi="Roboto" w:cs="Times New Roman"/>
          <w:color w:val="646464"/>
          <w:kern w:val="36"/>
          <w:sz w:val="48"/>
          <w:szCs w:val="48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kern w:val="36"/>
          <w:sz w:val="48"/>
          <w:szCs w:val="48"/>
          <w:lang w:eastAsia="ru-RU"/>
        </w:rPr>
        <w:lastRenderedPageBreak/>
        <w:t>Система обучения персонала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Необходимым атрибутом конкурентоспособного предприятия является система непрерывного обучения персонала.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Традиционная система профессионального обучения, включающая профессиональные училища, колледжи, институты и университеты, обычно решает задачу априорной подготовки специалистов широкого профиля с базовым набором фундаментальных и прикладных знаний. Корпоративная система обучения должна в относительно короткие сроки обеспечивать адаптацию фундаментальных и прикладных знаний специалиста к профилю производства конкретного предприятия, к постоянно меняющимся требованиям конкретных рабочих мест при внедрении новых технологий, освоении нового оборудования.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Существенное расширение доступа к знаниям, ставшее возможным благодаря современным информационным технологиям, в значительной мере видоизменяет характер отношений между профессионалом и непрофессионалом, организацией и работником, источником и получателем знаний. Так реализуется концепция и практика непрерывного образования, дающая возможность человеку учиться на протяжении всей жизни, как альтернатива традиционному образованию.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Для построения системы непрерывного обучения персонала возможны различные формы. Классическая форма «преподаватель - группа учащихся», культивируемая в учебных заведениях, вряд ли приемлема для корпоративного обучения, ибо ей свойственны определенные недостатки:</w:t>
      </w:r>
    </w:p>
    <w:p w:rsidR="00F47140" w:rsidRPr="00F47140" w:rsidRDefault="00F47140" w:rsidP="00F4714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• при групповом обучении большинство </w:t>
      </w:r>
      <w:proofErr w:type="gram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обучающихся</w:t>
      </w:r>
      <w:proofErr w:type="gram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будут ощущать дефицит индивидуального общения с преподавателем.</w:t>
      </w:r>
    </w:p>
    <w:p w:rsidR="00F47140" w:rsidRPr="00F47140" w:rsidRDefault="00F47140" w:rsidP="00F4714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средний уровень и средняя интенсивность процесса передачи знаний не позволяют передать максимум знаний за относительно короткое время.</w:t>
      </w:r>
    </w:p>
    <w:p w:rsidR="00F47140" w:rsidRPr="00F47140" w:rsidRDefault="00F47140" w:rsidP="00F4714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как правило, преподаватель настраивает процесс передачи знаний на средний уровень. Сотрудники с низкими и высокими интеллектуальными способностями в этих условиях не получают должного удовлетворения, хотя и по разным причинам.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Для обеспечения интенсивного (по объему и уровню) процесса передачи знаний может быть использована форма «преподаватель - индивидуальный ученик». Однако эта форма обучения при массовом охвате сотрудников компании требует привлечения большего отряда квалифицированных преподавателей, что далеко не всегда достижимо по разным причинам, в том числе по сумме затрат.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Другим важным элементом непрерывной системы повышения квалификации персонала является тренинг и наставничество. Тренировка и наставничество (воспитание) стали в последние годы весьма распространенными методами передачи знаний.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lastRenderedPageBreak/>
        <w:t>Ученики часто работают с мастерами (наставниками), обучаются ремеслу путем наблюдения, имитации и практической работы. Все это направлено, в основном, на повышение квалификации индивидуумов так, чтобы они могли позже выполнять свои задачи сами. Процесс накопления мастерства требует от учеников непрерывной практики до тех пор, пока они не достигнут требуемого уровня.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Грамотно построенная тренировка требует, чтобы тренер обеспечил развитие компетенции ученика, что трудно достигнуть без глубокого понимания психологии ученика, его потенциала и опыта. При этом использование элементов группового обучения также не исключается. Наставничество предполагает соединение новых и малоопытных сотрудников с более опытным старшим поколением, для того чтобы явные и неявные знания предприятия или организации могли быть эффективно переданы, что ускоряет процесс профессионального роста новых сотрудников. С помощью наставничества достигается преемственность знаний, их передача от поколения к поколению.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Тренировка и наставничество позволяют также более опытному персоналу сполна «отплатить» организации, то есть вернуть ей то, что она вложила </w:t>
      </w:r>
      <w:proofErr w:type="gram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в</w:t>
      </w:r>
      <w:proofErr w:type="gram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</w:t>
      </w:r>
      <w:proofErr w:type="gram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своего</w:t>
      </w:r>
      <w:proofErr w:type="gram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сотрудника за весь период действия трудового договора.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outlineLvl w:val="0"/>
        <w:rPr>
          <w:rFonts w:ascii="Roboto" w:eastAsia="Times New Roman" w:hAnsi="Roboto" w:cs="Times New Roman"/>
          <w:color w:val="646464"/>
          <w:kern w:val="36"/>
          <w:sz w:val="48"/>
          <w:szCs w:val="48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kern w:val="36"/>
          <w:sz w:val="48"/>
          <w:szCs w:val="48"/>
          <w:lang w:eastAsia="ru-RU"/>
        </w:rPr>
        <w:t>Корпоративная культура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Корпоративная культура (КК) является одним из наиболее важных факторов содействия эффективному управлению знаниями.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«Корпоративная культура - это совокупность коллективных базовых представлений, обретаемых организацией при разрешении проблем адаптации к изменениям внешней среды и внутренней интеграции, эффективность которых оказывается достаточной для того, чтобы считать их ценными и передавать новым членам организации в качестве правильной системы восприятия и разрешения названных проблем».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Таким образом, корпоративная культура - это приобретенный способ восприятия, постижения, мышления, совместно используемый и передаваемый между членами организации.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Корпоративная культура включает в себя такие элементы, как:</w:t>
      </w:r>
    </w:p>
    <w:p w:rsidR="00F47140" w:rsidRPr="00F47140" w:rsidRDefault="00F47140" w:rsidP="00F4714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история, традиции, ритуалы, правила;</w:t>
      </w:r>
    </w:p>
    <w:p w:rsidR="00F47140" w:rsidRPr="00F47140" w:rsidRDefault="00F47140" w:rsidP="00F4714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способ распределения и осуществления управления;</w:t>
      </w:r>
    </w:p>
    <w:p w:rsidR="00F47140" w:rsidRPr="00F47140" w:rsidRDefault="00F47140" w:rsidP="00F4714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степень формализации и стандартизации управления процессами;</w:t>
      </w:r>
    </w:p>
    <w:p w:rsidR="00F47140" w:rsidRPr="00F47140" w:rsidRDefault="00F47140" w:rsidP="00F4714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язык профессионального общения;</w:t>
      </w:r>
    </w:p>
    <w:p w:rsidR="00F47140" w:rsidRPr="00F47140" w:rsidRDefault="00F47140" w:rsidP="00F4714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возможности для творческого самовыражения индивидуумов и групп;</w:t>
      </w:r>
    </w:p>
    <w:p w:rsidR="00F47140" w:rsidRPr="00F47140" w:rsidRDefault="00F47140" w:rsidP="00F4714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система учета мнений персонала.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В числе пяти решающих факторов для достижения успеха в управлении знаниями, показанных на рис. 7.2, первое место отдается «Корпоративной культуре».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lastRenderedPageBreak/>
        <w:t>Существует несколько типов корпоративной культуры: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i/>
          <w:iCs/>
          <w:color w:val="646464"/>
          <w:sz w:val="24"/>
          <w:szCs w:val="24"/>
          <w:lang w:eastAsia="ru-RU"/>
        </w:rPr>
        <w:t>Культура иерархии</w:t>
      </w: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, в соответствии с которой организация сосредоточена на внутренних проблемах, стабильности, управляемости, контроле. Ее деятельность структурирована и формализована. Целостность организации поддерживается формальными правилами, процедурами, инструкциями. Поощряется высокая исполнительность. Изменения </w:t>
      </w:r>
      <w:proofErr w:type="gram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связаны</w:t>
      </w:r>
      <w:proofErr w:type="gram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прежде всего с изменением процедур. Лидеры гордятся тем, что они хорошие организаторы и умеют программировать деятельность подразделений.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i/>
          <w:iCs/>
          <w:color w:val="646464"/>
          <w:sz w:val="24"/>
          <w:szCs w:val="24"/>
          <w:lang w:eastAsia="ru-RU"/>
        </w:rPr>
        <w:t>Культура конкуренции</w:t>
      </w: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, в соответствии с которой организация сосредоточена на взаимодействии с внешней средой, стабильности, управляемости, контроле, достижении измеряемых рыночных результатов. Главная задача организации в целом и каждого работника в отдельности - достижение намеченных целей в установленные сроки. Стиль организации - жесткая конкуренция внутри и снаружи. Успех определяется в экономических терминах и терминах завоевания рынка. Лидеры - хозяева, нацеленные на конкурентную борьбу. Они требовательны и лишены снисходительности.</w:t>
      </w:r>
    </w:p>
    <w:p w:rsidR="00F47140" w:rsidRPr="00F47140" w:rsidRDefault="00F47140" w:rsidP="00F471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598160" cy="5598160"/>
            <wp:effectExtent l="19050" t="0" r="2540" b="0"/>
            <wp:docPr id="3" name="Рисунок 3" descr="Пять решающих факторов для достижения успеха в управлен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ять решающих факторов для достижения успеха в управлении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8160" cy="559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i/>
          <w:iCs/>
          <w:color w:val="646464"/>
          <w:sz w:val="24"/>
          <w:szCs w:val="24"/>
          <w:lang w:eastAsia="ru-RU"/>
        </w:rPr>
        <w:lastRenderedPageBreak/>
        <w:t>Рис. 7.2. </w:t>
      </w:r>
      <w:r w:rsidRPr="00F47140">
        <w:rPr>
          <w:rFonts w:ascii="Roboto" w:eastAsia="Times New Roman" w:hAnsi="Roboto" w:cs="Times New Roman"/>
          <w:b/>
          <w:bCs/>
          <w:i/>
          <w:iCs/>
          <w:color w:val="646464"/>
          <w:sz w:val="24"/>
          <w:szCs w:val="24"/>
          <w:lang w:eastAsia="ru-RU"/>
        </w:rPr>
        <w:t>Пять решающих факторов для достижения успеха в управлении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i/>
          <w:iCs/>
          <w:color w:val="646464"/>
          <w:sz w:val="24"/>
          <w:szCs w:val="24"/>
          <w:lang w:eastAsia="ru-RU"/>
        </w:rPr>
        <w:t>знаниями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Корпоративная культура, как и организационная структура, может быть стимулирующей системой, мотивирующей сотрудников искать новые, разумные способы поведения и работы. Культуры, ориентированные на создание и использование знаний, требуют как макроуправления (политика и программы, охватывающие всю организацию), так и </w:t>
      </w:r>
      <w:proofErr w:type="spell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микроуправления</w:t>
      </w:r>
      <w:proofErr w:type="spell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(учет субкультур и индивидуальных различий). Чтобы знание создавалось и применялось, оно должно передаваться и совместно использоваться, а это в значительной мере зависит от характера отношений между индивидуумами и группами. Не лишено оснований утверждение, что внедрить технику и технологию для эффективного доступа к корпоративным информационным ресурсам для информационного взаимодействия, групповой работы гораздо легче, чем развивать культуру сотрудничества.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В процессах обмена неявными знаниями, в установлении границ между личным и корпоративным знанием имеют место определенные проблемы. Прогрессивная система управления знаниями организации должна в этом отношении исходить из понимания, что неявное знание остается в головах индивидуумов и является их личным знанием, в то время как результат его применения - инновационные идеи, стратегии, решения, продукция, создаваемая структурными подразделениями в течение оплачиваемого времени, становятся корпоративными </w:t>
      </w:r>
      <w:proofErr w:type="spell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знаниевыми</w:t>
      </w:r>
      <w:proofErr w:type="spell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ресурсами, организационным знанием.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Количество и качество усвоенных при обучении знаний зависит от многих причин, среди которых выделяют:</w:t>
      </w:r>
    </w:p>
    <w:p w:rsidR="00F47140" w:rsidRPr="00F47140" w:rsidRDefault="00F47140" w:rsidP="00F4714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возраст, состояние здоровья;</w:t>
      </w:r>
    </w:p>
    <w:p w:rsidR="00F47140" w:rsidRPr="00F47140" w:rsidRDefault="00F47140" w:rsidP="00F4714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• </w:t>
      </w:r>
      <w:proofErr w:type="spell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мотивированность</w:t>
      </w:r>
      <w:proofErr w:type="spell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обучения;</w:t>
      </w:r>
    </w:p>
    <w:p w:rsidR="00F47140" w:rsidRPr="00F47140" w:rsidRDefault="00F47140" w:rsidP="00F4714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должность и профессиональные обязанности;</w:t>
      </w:r>
    </w:p>
    <w:p w:rsidR="00F47140" w:rsidRPr="00F47140" w:rsidRDefault="00F47140" w:rsidP="00F4714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объемы и качество остаточных знаний;</w:t>
      </w:r>
    </w:p>
    <w:p w:rsidR="00F47140" w:rsidRPr="00F47140" w:rsidRDefault="00F47140" w:rsidP="00F4714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качество обучения в вузе, где было получено базовое образование;</w:t>
      </w:r>
    </w:p>
    <w:p w:rsidR="00F47140" w:rsidRPr="00F47140" w:rsidRDefault="00F47140" w:rsidP="00F4714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соответствие программы обучения задачам должностных обязанностей;</w:t>
      </w:r>
    </w:p>
    <w:p w:rsidR="00F47140" w:rsidRPr="00F47140" w:rsidRDefault="00F47140" w:rsidP="00F4714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объем, качество и содержание самостоятельной работы при обучении на ФПК;</w:t>
      </w:r>
    </w:p>
    <w:p w:rsidR="00F47140" w:rsidRPr="00F47140" w:rsidRDefault="00F47140" w:rsidP="00F4714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периодичность контроля;</w:t>
      </w:r>
    </w:p>
    <w:p w:rsidR="00F47140" w:rsidRPr="00F47140" w:rsidRDefault="00F47140" w:rsidP="00F4714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«привычка» к обучению и пополнению знаний;</w:t>
      </w:r>
    </w:p>
    <w:p w:rsidR="00F47140" w:rsidRPr="00F47140" w:rsidRDefault="00F47140" w:rsidP="00F4714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другие факторы.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Общая теория познания трактует структуру общих знаний как динамическую систему взаимодействия «ядра» и «оболочки» (рис. 7.3).</w:t>
      </w:r>
    </w:p>
    <w:p w:rsidR="00F47140" w:rsidRPr="00F47140" w:rsidRDefault="00F47140" w:rsidP="00F471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3464560" cy="2824480"/>
            <wp:effectExtent l="19050" t="0" r="2540" b="0"/>
            <wp:docPr id="4" name="Рисунок 4" descr="Общая структура знани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Общая структура знаний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4560" cy="2824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i/>
          <w:iCs/>
          <w:color w:val="646464"/>
          <w:sz w:val="24"/>
          <w:szCs w:val="24"/>
          <w:lang w:eastAsia="ru-RU"/>
        </w:rPr>
        <w:t>Рис. 7.3. </w:t>
      </w:r>
      <w:r w:rsidRPr="00F47140">
        <w:rPr>
          <w:rFonts w:ascii="Roboto" w:eastAsia="Times New Roman" w:hAnsi="Roboto" w:cs="Times New Roman"/>
          <w:b/>
          <w:bCs/>
          <w:i/>
          <w:iCs/>
          <w:color w:val="646464"/>
          <w:sz w:val="24"/>
          <w:szCs w:val="24"/>
          <w:lang w:eastAsia="ru-RU"/>
        </w:rPr>
        <w:t>Общая структура знаний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proofErr w:type="gram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«Ядро» - это фундаментальные знания, содержащие научную картину мира, основы физики, математики, философии, теоретическую термодинамику, механику, электромеханику и др.</w:t>
      </w:r>
      <w:proofErr w:type="gramEnd"/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«Оболочка» - это знания каждого дня - экономические и технологические знания, нормативы и стандарты, СН</w:t>
      </w:r>
      <w:proofErr w:type="gram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И-</w:t>
      </w:r>
      <w:proofErr w:type="gram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</w:t>
      </w:r>
      <w:proofErr w:type="spell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Пы</w:t>
      </w:r>
      <w:proofErr w:type="spell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и </w:t>
      </w:r>
      <w:proofErr w:type="spell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СанПИНы</w:t>
      </w:r>
      <w:proofErr w:type="spell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, Правила и регламенты.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Таким образом, индивидуальное наполнение «ядра» преимущественно осуществляется в период базового образования в ВУЗе по соответствующим направлениям и специальностям. Оно относительно стабильно, мало подвержено изменениям, относительно медленно «стареет». Знания «ядра», как правило, имеют консервативный характер, не могут быть радикально перестроены, в значительной мере определяют мировоззрение человека.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Знания «оболочки» носят переменный, нестабильный характер. Они часто подвергаются ревизии, быстро устаревают и также быстро восстанавливаются или заменяются, могут формироваться в период краткосрочного повышения квалификации, самообразования или регулярной технической учебы.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Опыт показывает, что обновление нормативных актов, стандартов, регламентов и правил происходит в нашей стране за период от 3 до 7 лет. Именно отсюда исторически возникла уже привычная система периодичности повышения квалификации персонала - один раз в 5 лет.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Такой срок оправдан не только интенсивностью появления новых нормативных документов, но и физиологическими процессами старения и утраты знаний «оболочки».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Не менее важным фактором </w:t>
      </w:r>
      <w:proofErr w:type="gram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сохранения пятилетнего срока планирования повышения квалификации</w:t>
      </w:r>
      <w:proofErr w:type="gram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представляется сложившийся темп должностных изменений работников. Более частые изменения должности маловероятны или </w:t>
      </w: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lastRenderedPageBreak/>
        <w:t xml:space="preserve">говорят о чрезвычайных способностях работника. </w:t>
      </w:r>
      <w:proofErr w:type="gram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Более редкие - о полном соответствии занимаемой должности.</w:t>
      </w:r>
      <w:proofErr w:type="gramEnd"/>
    </w:p>
    <w:p w:rsidR="00F47140" w:rsidRDefault="00F47140" w:rsidP="00F47140">
      <w:pPr>
        <w:pStyle w:val="1"/>
        <w:rPr>
          <w:rFonts w:ascii="Roboto" w:hAnsi="Roboto"/>
          <w:b w:val="0"/>
          <w:bCs w:val="0"/>
          <w:color w:val="646464"/>
        </w:rPr>
      </w:pPr>
      <w:r>
        <w:rPr>
          <w:rFonts w:ascii="Roboto" w:hAnsi="Roboto"/>
          <w:b w:val="0"/>
          <w:bCs w:val="0"/>
          <w:color w:val="646464"/>
        </w:rPr>
        <w:t>Порядок повышения квалификации работников</w:t>
      </w:r>
    </w:p>
    <w:p w:rsidR="00F47140" w:rsidRDefault="00F47140" w:rsidP="00F47140">
      <w:pPr>
        <w:pStyle w:val="2"/>
        <w:spacing w:before="0"/>
        <w:rPr>
          <w:rFonts w:ascii="Roboto" w:hAnsi="Roboto"/>
          <w:b w:val="0"/>
          <w:bCs w:val="0"/>
          <w:color w:val="646464"/>
        </w:rPr>
      </w:pPr>
      <w:r>
        <w:rPr>
          <w:rFonts w:ascii="Roboto" w:hAnsi="Roboto"/>
          <w:b w:val="0"/>
          <w:bCs w:val="0"/>
          <w:color w:val="646464"/>
        </w:rPr>
        <w:t>Формы повышения квалификации</w:t>
      </w:r>
    </w:p>
    <w:p w:rsidR="00F47140" w:rsidRDefault="00F47140" w:rsidP="00F4714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• Краткосрочные курсы повышения квалификации объемом от 72 до 100 часов.</w:t>
      </w:r>
    </w:p>
    <w:p w:rsidR="00F47140" w:rsidRDefault="00F47140" w:rsidP="00F4714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• Долгосрочные курсы повышения квалификации объемом от 100 до 500 часов.</w:t>
      </w:r>
    </w:p>
    <w:p w:rsidR="00F47140" w:rsidRDefault="00F47140" w:rsidP="00F4714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• профессиональная переподготовка объемом свыше 500 часов.</w:t>
      </w:r>
    </w:p>
    <w:p w:rsidR="00F47140" w:rsidRDefault="00F47140" w:rsidP="00F47140">
      <w:pPr>
        <w:pStyle w:val="a4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Каждая из форм повышения квалификации, указанная выше, предусматривает итоговую аттестацию в установленном порядке.</w:t>
      </w:r>
    </w:p>
    <w:p w:rsidR="00F47140" w:rsidRDefault="00F47140" w:rsidP="00F47140">
      <w:pPr>
        <w:pStyle w:val="a4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Общая продолжительность срока обучения, количество ежедневных занятий и их расписания устанавливаются с учетом возможной психофизиологической напряженности из расчета: не более 6-8 часов в день, не более 36 часов в неделю. Аттестационные сессии для одних и тех же слушателей не могут проводиться чаще, чем 2 раза в год.</w:t>
      </w:r>
    </w:p>
    <w:p w:rsidR="00F47140" w:rsidRDefault="00F47140" w:rsidP="00F47140">
      <w:pPr>
        <w:pStyle w:val="a4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Повышение квалификации работников производится в течение всей трудовой деятельности. Периодичность повышения квалификации регулируется работодателем и определяется по мере необходимости, но не реже одного раза в пять лет.</w:t>
      </w:r>
    </w:p>
    <w:p w:rsidR="00F47140" w:rsidRDefault="00F47140" w:rsidP="00F47140">
      <w:pPr>
        <w:pStyle w:val="a4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Общий порядок повышения квалификации работников</w:t>
      </w:r>
    </w:p>
    <w:p w:rsidR="00F47140" w:rsidRDefault="00F47140" w:rsidP="00F47140">
      <w:pPr>
        <w:pStyle w:val="a4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Организация, направляющая своих работников на обучение:</w:t>
      </w:r>
    </w:p>
    <w:p w:rsidR="00F47140" w:rsidRDefault="00F47140" w:rsidP="00F4714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• определяет контингент слушателей;</w:t>
      </w:r>
    </w:p>
    <w:p w:rsidR="00F47140" w:rsidRDefault="00F47140" w:rsidP="00F4714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• согласовывает учебные программы, формы и сроки обучения;</w:t>
      </w:r>
    </w:p>
    <w:p w:rsidR="00F47140" w:rsidRDefault="00F47140" w:rsidP="00F4714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• осуществляет выбор образовательного учреждения, заключает договор на обучение, уточняет учебно-тематическую программу;</w:t>
      </w:r>
    </w:p>
    <w:p w:rsidR="00F47140" w:rsidRDefault="00F47140" w:rsidP="00F4714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• производит оплату обучения в соответствии со сметой;</w:t>
      </w:r>
    </w:p>
    <w:p w:rsidR="00F47140" w:rsidRDefault="00F47140" w:rsidP="00F4714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• проводить контроль качества и эффективности результатов обучения;</w:t>
      </w:r>
    </w:p>
    <w:p w:rsidR="00F47140" w:rsidRDefault="00F47140" w:rsidP="00F4714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• участвует в итоговой аттестации.</w:t>
      </w:r>
    </w:p>
    <w:p w:rsidR="00F47140" w:rsidRDefault="00F47140" w:rsidP="00F47140">
      <w:pPr>
        <w:pStyle w:val="a4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 xml:space="preserve">Образовательное учреждение, осуществляющее </w:t>
      </w:r>
      <w:proofErr w:type="gramStart"/>
      <w:r>
        <w:rPr>
          <w:rFonts w:ascii="Roboto" w:hAnsi="Roboto"/>
          <w:color w:val="646464"/>
        </w:rPr>
        <w:t>обучение</w:t>
      </w:r>
      <w:proofErr w:type="gramEnd"/>
      <w:r>
        <w:rPr>
          <w:rFonts w:ascii="Roboto" w:hAnsi="Roboto"/>
          <w:color w:val="646464"/>
        </w:rPr>
        <w:t xml:space="preserve"> по дополнительным профессиональным программам, должно иметь лицензию на право ведения образовательной деятельности по соответствующему направлению.</w:t>
      </w:r>
    </w:p>
    <w:p w:rsidR="00F47140" w:rsidRDefault="00F47140" w:rsidP="00F47140">
      <w:pPr>
        <w:pStyle w:val="a4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Образовательное учреждение:</w:t>
      </w:r>
    </w:p>
    <w:p w:rsidR="00F47140" w:rsidRDefault="00F47140" w:rsidP="00F4714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• разрабатывает программы дополнительного профессионального обучения с учетом запросов предприятий и организаций, отраслевых и региональных особенностей;</w:t>
      </w:r>
    </w:p>
    <w:p w:rsidR="00F47140" w:rsidRDefault="00F47140" w:rsidP="00F4714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 xml:space="preserve">• осуществляет </w:t>
      </w:r>
      <w:proofErr w:type="gramStart"/>
      <w:r>
        <w:rPr>
          <w:rFonts w:ascii="Roboto" w:hAnsi="Roboto"/>
          <w:color w:val="646464"/>
        </w:rPr>
        <w:t>обучение слушателей</w:t>
      </w:r>
      <w:proofErr w:type="gramEnd"/>
      <w:r>
        <w:rPr>
          <w:rFonts w:ascii="Roboto" w:hAnsi="Roboto"/>
          <w:color w:val="646464"/>
        </w:rPr>
        <w:t xml:space="preserve"> по согласованным образовательным программам;</w:t>
      </w:r>
    </w:p>
    <w:p w:rsidR="00F47140" w:rsidRDefault="00F47140" w:rsidP="00F4714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lastRenderedPageBreak/>
        <w:t>• проводит аттестацию слушателей с участием (или без) представителей предприятий;</w:t>
      </w:r>
    </w:p>
    <w:p w:rsidR="00F47140" w:rsidRDefault="00F47140" w:rsidP="00F4714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• после успешного окончания обучения выдают слушателям документы государственного образца о повышении квалификации, профессиональной переподготовке;</w:t>
      </w:r>
    </w:p>
    <w:p w:rsidR="00F47140" w:rsidRDefault="00F47140" w:rsidP="00F4714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• выдают слушателям бесплатно или на основе согласованной платы учебные материалы (учебники или конспекты лекций в электронном виде или на бумажных носителях, нормативные документы, фотографии, схемы, таблицы и т. п.);</w:t>
      </w:r>
    </w:p>
    <w:p w:rsidR="00F47140" w:rsidRDefault="00F47140" w:rsidP="00F4714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• осуществляют консультирование слушателей при выполнении выпускной и самостоятельной работы в период обучения.</w:t>
      </w:r>
    </w:p>
    <w:p w:rsidR="00F47140" w:rsidRDefault="00F47140" w:rsidP="00F47140">
      <w:pPr>
        <w:pStyle w:val="a4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Требования к программам дополнительного профессионального образования</w:t>
      </w:r>
    </w:p>
    <w:p w:rsidR="00F47140" w:rsidRDefault="00F47140" w:rsidP="00F47140">
      <w:pPr>
        <w:pStyle w:val="a4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Общие требования к дополнительным образовательным программам:</w:t>
      </w:r>
    </w:p>
    <w:p w:rsidR="00F47140" w:rsidRDefault="00F47140" w:rsidP="00F47140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• соответствие квалификационным требованиям профессий и должностей;</w:t>
      </w:r>
    </w:p>
    <w:p w:rsidR="00F47140" w:rsidRDefault="00F47140" w:rsidP="00F47140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• преемственность по отношению к государственным образовательным стандартам высшего и среднего специального образования;</w:t>
      </w:r>
    </w:p>
    <w:p w:rsidR="00F47140" w:rsidRDefault="00F47140" w:rsidP="00F47140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• ориентация на современные образовательные технологии и средства обучения;</w:t>
      </w:r>
    </w:p>
    <w:p w:rsidR="00F47140" w:rsidRDefault="00F47140" w:rsidP="00F47140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• совместимость программ по видам и срокам обучения;</w:t>
      </w:r>
    </w:p>
    <w:p w:rsidR="00F47140" w:rsidRDefault="00F47140" w:rsidP="00F47140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• соответствие по видам учебной нагрузки слушателей.</w:t>
      </w:r>
    </w:p>
    <w:p w:rsidR="00F47140" w:rsidRDefault="00F47140" w:rsidP="00F47140">
      <w:pPr>
        <w:pStyle w:val="a4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Программы дополнительного профессионального образования</w:t>
      </w:r>
    </w:p>
    <w:p w:rsidR="00F47140" w:rsidRDefault="00F47140" w:rsidP="00F47140">
      <w:pPr>
        <w:pStyle w:val="a4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в области надежности энергетики должны обеспечивать:</w:t>
      </w:r>
    </w:p>
    <w:p w:rsidR="00F47140" w:rsidRDefault="00F47140" w:rsidP="00F47140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• соответствие квалификационным требованиям должностей и должностных лиц энергетики, жилищно-коммунального хозяйства, надежности и безопасности;</w:t>
      </w:r>
    </w:p>
    <w:p w:rsidR="00F47140" w:rsidRDefault="00F47140" w:rsidP="00F47140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• соответствие современному уровню науки, техники и технологии энергетического хозяйства;</w:t>
      </w:r>
    </w:p>
    <w:p w:rsidR="00F47140" w:rsidRDefault="00F47140" w:rsidP="00F47140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Roboto" w:hAnsi="Roboto"/>
          <w:color w:val="646464"/>
        </w:rPr>
      </w:pPr>
      <w:r>
        <w:rPr>
          <w:rFonts w:ascii="Roboto" w:hAnsi="Roboto"/>
          <w:color w:val="646464"/>
        </w:rPr>
        <w:t>• учитывать практические запросы организаций в части повышения профессиональных знаний слушателей.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outlineLvl w:val="0"/>
        <w:rPr>
          <w:rFonts w:ascii="Roboto" w:eastAsia="Times New Roman" w:hAnsi="Roboto" w:cs="Times New Roman"/>
          <w:color w:val="646464"/>
          <w:kern w:val="36"/>
          <w:sz w:val="48"/>
          <w:szCs w:val="48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kern w:val="36"/>
          <w:sz w:val="48"/>
          <w:szCs w:val="48"/>
          <w:lang w:eastAsia="ru-RU"/>
        </w:rPr>
        <w:t>Порядок аттестации слушателей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Оценка качества подготовки персонала осуществляется для определения соответствия работника рабочему месту и может выполняться с тремя целями:</w:t>
      </w:r>
    </w:p>
    <w:p w:rsidR="00F47140" w:rsidRPr="00F47140" w:rsidRDefault="00F47140" w:rsidP="00F47140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текущая периодическая оценка потенциала работника - получение информации о потенциале работника, т. е. соответствии его характеристик нормативной модели рабочего места, профессиональных знаниях, умениях, производственном опыте, деловых и нравственных качествах, здоровье и работоспособности, уровне общей культуры; с помощью этой информации можно принимать решения по вопросам продвижения и зарплаты персонала;</w:t>
      </w:r>
    </w:p>
    <w:p w:rsidR="00F47140" w:rsidRPr="00F47140" w:rsidRDefault="00F47140" w:rsidP="00F47140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• оценка индивидуального вклада. Позволяет установить качество, сложность и результативность труда конкретного сотрудника, и его соответствие занимаемому месту с помощью специальных методик. Применима для рабочих и служащих, работающих на предприятии достаточное время, результатом труда которых могут быть готовая </w:t>
      </w: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lastRenderedPageBreak/>
        <w:t>продукция, работа и услуги, имеющие количественные, сопоставимые во времени измерители;</w:t>
      </w:r>
    </w:p>
    <w:p w:rsidR="00F47140" w:rsidRPr="00F47140" w:rsidRDefault="00F47140" w:rsidP="00F47140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аттестация кадров - это комплексная оценка персонала за период времени, как правило, от трех до пяти лет; она учитывает потенциал и индивидуальный вклад работника в конечный результат; по ее результатам принимаются решения о дальнейшем служебном росте, перемещении или увольнении работника.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Наиболее простым и популярным методом аттестации является графическая шкала оценивания. Она отображает характеристики (количественные и качественные), каждой из которых соответствует уровень исполнения обязанностей (</w:t>
      </w:r>
      <w:proofErr w:type="gram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от</w:t>
      </w:r>
      <w:proofErr w:type="gram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неудовлетворительного до отличного). В свою очередь каждый рейтинг выражается в определенных численных значениях, указанных в шкале оценки, которая затем суммируется.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Наиболее известные методы оценки персонала приведены в табл. 7.3.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Таблица 7.3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i/>
          <w:iCs/>
          <w:color w:val="646464"/>
          <w:sz w:val="24"/>
          <w:szCs w:val="24"/>
          <w:lang w:eastAsia="ru-RU"/>
        </w:rPr>
        <w:t>Методы оценки персонала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554"/>
        <w:gridCol w:w="4259"/>
        <w:gridCol w:w="2862"/>
      </w:tblGrid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Название метода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Краткое описание метода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Результат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Биографа чес кий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Анализ кадровых данных, листок по учету кадров, личные заявления, автобиография, документы об образовании, характеристика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Логическое заключение о семье, образовании, карьере, чертах характера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Интервьюирование</w:t>
            </w:r>
          </w:p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(собеседование)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Беседа с работником в режиме «вопрос-ответ» по заранее составленной или произвольной схеме для получения дополнительных данных о человеке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Вопросник с ответами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Анкетирование</w:t>
            </w:r>
          </w:p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(самооценка)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Опрос человека с помощью специальной анкеты для самооценки качеств личности и их последующего анализа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Анкета «Вакансия», резюме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Социологический</w:t>
            </w:r>
          </w:p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опрос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Анкетный опрос работников разных категорий, хорошо знающих оцениваемого человека (руководители, коллеги, подчиненные) и построение диаграммы качеств личности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Анкета социологической оценки, диаграмма качеств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lastRenderedPageBreak/>
              <w:t>Наблюдение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Наблюдение за оцениваемым работником в неформальной обстановке (на отдыхе в быту) и в рабочей обстановке методами моментных наблюдений и фотографии рабочего дня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Отчет о наблюдении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Определение профессиональных знаний и умений, способностей, мотивов, психологии личности с помощью специальных тестов с последующей их расшифровкой с помощью «ключей»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Психологический портрет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Экспертные оценки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Формирование группы экспертов, определение совокупности качеств и получение экспертных оценок идеального или реального работника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Модель рабочего места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Критический</w:t>
            </w:r>
          </w:p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инцидент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Создание критической ситуации и наблюдение за поведением человека в процессе ее разрешения (конфликт, принятие сложного решения, поведение в беде, отношение к вину, женщинам и т. д.)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Отчет об инциденте и поведении человека</w:t>
            </w:r>
          </w:p>
        </w:tc>
      </w:tr>
    </w:tbl>
    <w:p w:rsidR="00F47140" w:rsidRPr="00F47140" w:rsidRDefault="00F47140" w:rsidP="00F47140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45"/>
        <w:gridCol w:w="3784"/>
        <w:gridCol w:w="3046"/>
      </w:tblGrid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Деловая игра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 xml:space="preserve">Проведение </w:t>
            </w:r>
            <w:proofErr w:type="spellStart"/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организационно-деятельностной</w:t>
            </w:r>
            <w:proofErr w:type="spellEnd"/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 xml:space="preserve"> игры, анализ знаний и умений, ранжирование игроков по их ролям («генераторы идеи», «организатор», «критик» и др.) и оценка способности работы в малой группе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Отчет об игре. Оценки игроков и их ролей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Анализ</w:t>
            </w:r>
          </w:p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конкретных</w:t>
            </w:r>
          </w:p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ситуаций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Передача работнику конкретной производственной ситуации с заданием проведения анализа и подготовки предложений по ее разрешению в форме доклада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Доклад с альтернативами решения ситуации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Ранжирование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 xml:space="preserve">Сравнение оцениваемых </w:t>
            </w: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lastRenderedPageBreak/>
              <w:t>работников между собой другими методами и расположение по выбранному критерию в порядке убывания или возрастания рангов (ме</w:t>
            </w:r>
            <w:proofErr w:type="gramStart"/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ст в гр</w:t>
            </w:r>
            <w:proofErr w:type="gramEnd"/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уппе)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lastRenderedPageBreak/>
              <w:t xml:space="preserve">Ранжированный </w:t>
            </w: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lastRenderedPageBreak/>
              <w:t>список работников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lastRenderedPageBreak/>
              <w:t>Программированный</w:t>
            </w:r>
          </w:p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контроль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Оценка профессиональных знаний и умений, уровня интеллекта, опыта и работоспособности с помощью контрольных вопросов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Карта программированного контроля, оценка знаний и умений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Экзамен (зачет, защита бизнес-плана)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 xml:space="preserve">Контроль профессиональных знаний и умений, с предварительной подготовкой </w:t>
            </w:r>
            <w:proofErr w:type="gramStart"/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оцениваемого</w:t>
            </w:r>
            <w:proofErr w:type="gramEnd"/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 xml:space="preserve"> по дисциплине и выступление перед экзаменационной комиссией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Экзаменационный лист с оценками, бизнес-план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Самоотчет</w:t>
            </w:r>
          </w:p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(выступление)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Письменный отчет или устное выступление руководителя или специалиста перед трудовым коллективом с анализом выполнения плана работы и личных обязательств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Письменный отчет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Комплексная оценка труда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Определение совокупности оценочных показателей качества, сложности и результативности труда и сравнение их с предыдущим периодом или нормативом с помощью весовых коэффициентов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Таблица оценки труда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Аттестация</w:t>
            </w:r>
          </w:p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персонала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 xml:space="preserve">Комплексный метод оценки персонала, использующий другие методы (интервью, анкетирования, наблюдения, тестирования, экспертных оценок и др.) для определения аттестационной комиссией соответствия </w:t>
            </w: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lastRenderedPageBreak/>
              <w:t>кандидата вакантной или занимаемой должности, и последующего анализа ответов для определения потенциала человека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lastRenderedPageBreak/>
              <w:t>Анкета «Аттестация», протокол аттестационной комиссии, приказ директора</w:t>
            </w:r>
          </w:p>
        </w:tc>
      </w:tr>
    </w:tbl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i/>
          <w:iCs/>
          <w:color w:val="646464"/>
          <w:sz w:val="24"/>
          <w:szCs w:val="24"/>
          <w:lang w:eastAsia="ru-RU"/>
        </w:rPr>
        <w:lastRenderedPageBreak/>
        <w:t>Метод альтернативного ранжирования</w:t>
      </w: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 по некоторым характеристикам особенно популярен. Сначала выписываются все работники, которые проходят оценивание, затем вычеркиваются те, по которым недостаточно информации. Затем по форме указанной ниже обозначаются наилучшие и наихудшие работники по измеренным характеристикам. Далее выбирается следующий наилучший и наихудший до тех пор, пока все не будут </w:t>
      </w:r>
      <w:proofErr w:type="spell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проранжированы</w:t>
      </w:r>
      <w:proofErr w:type="spell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таким образом (табл. 7.4).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Таблица 7.4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i/>
          <w:iCs/>
          <w:color w:val="646464"/>
          <w:sz w:val="24"/>
          <w:szCs w:val="24"/>
          <w:lang w:eastAsia="ru-RU"/>
        </w:rPr>
        <w:t>Шкала альтернативного ранжирования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41"/>
        <w:gridCol w:w="4834"/>
      </w:tblGrid>
      <w:tr w:rsidR="00F47140" w:rsidRPr="00F47140" w:rsidTr="00F47140"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Шкала альтернативного ранжирования</w:t>
            </w:r>
          </w:p>
        </w:tc>
      </w:tr>
      <w:tr w:rsidR="00F47140" w:rsidRPr="00F47140" w:rsidTr="00F47140"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Характеристика</w:t>
            </w:r>
          </w:p>
        </w:tc>
      </w:tr>
      <w:tr w:rsidR="00F47140" w:rsidRPr="00F47140" w:rsidTr="00F47140"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 xml:space="preserve">Для измеряемой характеристики выпишите всех подчиненных, которых Вы хотите </w:t>
            </w:r>
            <w:proofErr w:type="spellStart"/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проранжировать</w:t>
            </w:r>
            <w:proofErr w:type="spellEnd"/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 xml:space="preserve">. Укажите Ф.И.О. </w:t>
            </w:r>
            <w:proofErr w:type="gramStart"/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работающего</w:t>
            </w:r>
            <w:proofErr w:type="gramEnd"/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 xml:space="preserve"> с наилучшим рейтингом в строке № 1, а наихудшим рейтингом в строке № 20. Затем включите следующего наилучшего работника в строку № 2 и наихудшего в строку № 19 и т. д.</w:t>
            </w:r>
          </w:p>
        </w:tc>
      </w:tr>
      <w:tr w:rsidR="00F47140" w:rsidRPr="00F47140" w:rsidTr="00F47140"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proofErr w:type="gramStart"/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Работающие</w:t>
            </w:r>
            <w:proofErr w:type="gramEnd"/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 xml:space="preserve"> с наилучшим рейтингом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11.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12.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13.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14.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15.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16.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17.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18.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19.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lastRenderedPageBreak/>
              <w:t>10.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20</w:t>
            </w:r>
          </w:p>
        </w:tc>
      </w:tr>
      <w:tr w:rsidR="00F47140" w:rsidRPr="00F47140" w:rsidTr="00F47140"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proofErr w:type="gramStart"/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Работающие</w:t>
            </w:r>
            <w:proofErr w:type="gramEnd"/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 xml:space="preserve"> с наихудшим рейтингом</w:t>
            </w:r>
          </w:p>
        </w:tc>
      </w:tr>
    </w:tbl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i/>
          <w:iCs/>
          <w:color w:val="646464"/>
          <w:sz w:val="24"/>
          <w:szCs w:val="24"/>
          <w:lang w:eastAsia="ru-RU"/>
        </w:rPr>
        <w:t>Метод парного сравнения.</w:t>
      </w: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 Метод парного сравнения - наиболее эффективен при аттестации. По каждой характеристике сотрудник сравнивается </w:t>
      </w:r>
      <w:proofErr w:type="gram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с</w:t>
      </w:r>
      <w:proofErr w:type="gram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другим, работающим в паре.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Предположим, необходимо оценить пять служащих методом </w:t>
      </w:r>
      <w:proofErr w:type="spell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попарного</w:t>
      </w:r>
      <w:proofErr w:type="spell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сравнения. Для этого нужно составить таблицу возможных пар работников по каждой характеристике. Затем указать (с использованием «+» и «-») лучше и хуже </w:t>
      </w:r>
      <w:proofErr w:type="gram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работающих</w:t>
      </w:r>
      <w:proofErr w:type="gram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. Далее число плюсов для каждого сотрудника суммируется.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Таблица 7.5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i/>
          <w:iCs/>
          <w:color w:val="646464"/>
          <w:sz w:val="24"/>
          <w:szCs w:val="24"/>
          <w:lang w:eastAsia="ru-RU"/>
        </w:rPr>
        <w:t>Характеристика «</w:t>
      </w:r>
      <w:proofErr w:type="spellStart"/>
      <w:r w:rsidRPr="00F47140">
        <w:rPr>
          <w:rFonts w:ascii="Roboto" w:eastAsia="Times New Roman" w:hAnsi="Roboto" w:cs="Times New Roman"/>
          <w:i/>
          <w:iCs/>
          <w:color w:val="646464"/>
          <w:sz w:val="24"/>
          <w:szCs w:val="24"/>
          <w:lang w:eastAsia="ru-RU"/>
        </w:rPr>
        <w:t>Качествоработы</w:t>
      </w:r>
      <w:proofErr w:type="spellEnd"/>
      <w:r w:rsidRPr="00F47140">
        <w:rPr>
          <w:rFonts w:ascii="Roboto" w:eastAsia="Times New Roman" w:hAnsi="Roboto" w:cs="Times New Roman"/>
          <w:i/>
          <w:iCs/>
          <w:color w:val="646464"/>
          <w:sz w:val="24"/>
          <w:szCs w:val="24"/>
          <w:lang w:eastAsia="ru-RU"/>
        </w:rPr>
        <w:t>»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49"/>
        <w:gridCol w:w="1221"/>
        <w:gridCol w:w="1138"/>
        <w:gridCol w:w="1286"/>
        <w:gridCol w:w="1290"/>
        <w:gridCol w:w="1041"/>
      </w:tblGrid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Сравнение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Ефимов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Зайцев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Королев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Никитин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Попов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Ефимов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after="0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-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Зайцев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after="0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-</w:t>
            </w:r>
          </w:p>
        </w:tc>
      </w:tr>
    </w:tbl>
    <w:p w:rsidR="00F47140" w:rsidRPr="00F47140" w:rsidRDefault="00F47140" w:rsidP="00F471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90"/>
        <w:gridCol w:w="457"/>
        <w:gridCol w:w="457"/>
        <w:gridCol w:w="457"/>
        <w:gridCol w:w="457"/>
        <w:gridCol w:w="457"/>
      </w:tblGrid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Королев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after="0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after="0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-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Никитин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+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Попов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after="0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</w:p>
        </w:tc>
      </w:tr>
    </w:tbl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i/>
          <w:iCs/>
          <w:color w:val="646464"/>
          <w:sz w:val="24"/>
          <w:szCs w:val="24"/>
          <w:lang w:eastAsia="ru-RU"/>
        </w:rPr>
        <w:t>Принудительное распределение.</w:t>
      </w: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 Метод принудительного распределения подобен «сортировке по кривой». По этому методу устанавливают проценты ранжируемых для каждой категории исполнения обязанностей. Например, можно распределить работников следующим образом:</w:t>
      </w:r>
    </w:p>
    <w:p w:rsidR="00F47140" w:rsidRPr="00F47140" w:rsidRDefault="00F47140" w:rsidP="00F47140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15 % - </w:t>
      </w:r>
      <w:proofErr w:type="gram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отличное</w:t>
      </w:r>
      <w:proofErr w:type="gram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;</w:t>
      </w:r>
    </w:p>
    <w:p w:rsidR="00F47140" w:rsidRPr="00F47140" w:rsidRDefault="00F47140" w:rsidP="00F47140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20 % - выше среднего;</w:t>
      </w:r>
    </w:p>
    <w:p w:rsidR="00F47140" w:rsidRPr="00F47140" w:rsidRDefault="00F47140" w:rsidP="00F47140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30 % - среднее;</w:t>
      </w:r>
    </w:p>
    <w:p w:rsidR="00F47140" w:rsidRPr="00F47140" w:rsidRDefault="00F47140" w:rsidP="00F47140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20 % - ниже среднего;</w:t>
      </w:r>
    </w:p>
    <w:p w:rsidR="00F47140" w:rsidRPr="00F47140" w:rsidRDefault="00F47140" w:rsidP="00F47140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15 % - плохое.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На практике это означает выписать фамилии каждого работника на отдельной индексной карточке. Затем для каждой оцениваемой характеристики (качество работы, творчество и т. д.) необходимо поместить карточку в одну из соответствующих категорий исполнения обязанностей.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i/>
          <w:iCs/>
          <w:color w:val="646464"/>
          <w:sz w:val="24"/>
          <w:szCs w:val="24"/>
          <w:lang w:eastAsia="ru-RU"/>
        </w:rPr>
        <w:lastRenderedPageBreak/>
        <w:t>Метод критического случая.</w:t>
      </w: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 Суть метода критического случая в том, что тестирующий постоянно ведет запись удачных или нежелательных примеров исполнения обязанностей каждым подчиненным, затем каждые 6 месяцев обсуждает их с ним.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Таблица 7.6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i/>
          <w:iCs/>
          <w:color w:val="646464"/>
          <w:sz w:val="24"/>
          <w:szCs w:val="24"/>
          <w:lang w:eastAsia="ru-RU"/>
        </w:rPr>
        <w:t xml:space="preserve">Примеры критических случаев </w:t>
      </w:r>
      <w:proofErr w:type="gramStart"/>
      <w:r w:rsidRPr="00F47140">
        <w:rPr>
          <w:rFonts w:ascii="Roboto" w:eastAsia="Times New Roman" w:hAnsi="Roboto" w:cs="Times New Roman"/>
          <w:i/>
          <w:iCs/>
          <w:color w:val="646464"/>
          <w:sz w:val="24"/>
          <w:szCs w:val="24"/>
          <w:lang w:eastAsia="ru-RU"/>
        </w:rPr>
        <w:t>для</w:t>
      </w:r>
      <w:proofErr w:type="gramEnd"/>
      <w:r w:rsidRPr="00F47140">
        <w:rPr>
          <w:rFonts w:ascii="Roboto" w:eastAsia="Times New Roman" w:hAnsi="Roboto" w:cs="Times New Roman"/>
          <w:i/>
          <w:iCs/>
          <w:color w:val="646464"/>
          <w:sz w:val="24"/>
          <w:szCs w:val="24"/>
          <w:lang w:eastAsia="ru-RU"/>
        </w:rPr>
        <w:t xml:space="preserve"> </w:t>
      </w:r>
      <w:proofErr w:type="gramStart"/>
      <w:r w:rsidRPr="00F47140">
        <w:rPr>
          <w:rFonts w:ascii="Roboto" w:eastAsia="Times New Roman" w:hAnsi="Roboto" w:cs="Times New Roman"/>
          <w:i/>
          <w:iCs/>
          <w:color w:val="646464"/>
          <w:sz w:val="24"/>
          <w:szCs w:val="24"/>
          <w:lang w:eastAsia="ru-RU"/>
        </w:rPr>
        <w:t>топ-менеджера</w:t>
      </w:r>
      <w:proofErr w:type="gramEnd"/>
      <w:r w:rsidRPr="00F47140">
        <w:rPr>
          <w:rFonts w:ascii="Roboto" w:eastAsia="Times New Roman" w:hAnsi="Roboto" w:cs="Times New Roman"/>
          <w:i/>
          <w:iCs/>
          <w:color w:val="646464"/>
          <w:sz w:val="24"/>
          <w:szCs w:val="24"/>
          <w:lang w:eastAsia="ru-RU"/>
        </w:rPr>
        <w:t xml:space="preserve"> завода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30"/>
        <w:gridCol w:w="3215"/>
        <w:gridCol w:w="3730"/>
      </w:tblGrid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Обязанности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Цели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Критические случаи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Планирование производства завода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Полное использование персонала и оборудования на заводе; заказы полученные вовремя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Ввел новую систему планирования производства; снизил в прошлом месяце запоздалые заказы на 10%; увеличил использование машин на заводе на 20 % в прошлом месяце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Наблюдение за приобретением сырья и материалов и управление инвентарем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Минимизация затрат на товарно-материальные ценности, поддержание адекватных поставок, находящихся в его распоряжении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 xml:space="preserve">Позволил затратам на хранение товарно-материальных ценностей подняться на 15 % в прошлом месяце; заказал излишние части «А» и «В» на 20 %; не </w:t>
            </w:r>
            <w:proofErr w:type="spellStart"/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дозаказал</w:t>
            </w:r>
            <w:proofErr w:type="spellEnd"/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 xml:space="preserve"> части «С» на 30 %</w:t>
            </w:r>
          </w:p>
        </w:tc>
      </w:tr>
    </w:tbl>
    <w:p w:rsidR="00F47140" w:rsidRPr="00F47140" w:rsidRDefault="00F47140" w:rsidP="00F47140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78"/>
        <w:gridCol w:w="2504"/>
        <w:gridCol w:w="4493"/>
      </w:tblGrid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Обязанности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Цели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Критические случаи</w:t>
            </w:r>
          </w:p>
        </w:tc>
      </w:tr>
      <w:tr w:rsidR="00F47140" w:rsidRPr="00F47140" w:rsidTr="00F4714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Наблюдение за содержанием и эксплуатацией оборудования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Работа без сбоев, несмотря на поломки оборудования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  <w:hideMark/>
          </w:tcPr>
          <w:p w:rsidR="00F47140" w:rsidRPr="00F47140" w:rsidRDefault="00F47140" w:rsidP="00F47140">
            <w:pPr>
              <w:spacing w:before="100" w:beforeAutospacing="1" w:after="100" w:afterAutospacing="1" w:line="240" w:lineRule="auto"/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</w:pPr>
            <w:r w:rsidRPr="00F47140">
              <w:rPr>
                <w:rFonts w:ascii="Roboto" w:eastAsia="Times New Roman" w:hAnsi="Roboto" w:cs="Times New Roman"/>
                <w:color w:val="646464"/>
                <w:sz w:val="24"/>
                <w:szCs w:val="24"/>
                <w:lang w:eastAsia="ru-RU"/>
              </w:rPr>
              <w:t>Ввел новую профилактическую систему содержания и эксплуатации оборудования на заводе: предотвратил поломку машины, обнаружив неисправную часть</w:t>
            </w:r>
          </w:p>
        </w:tc>
      </w:tr>
    </w:tbl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Метод критических случаев часто используется в дополнение к методам ранжирования, поскольку он обеспечивает неопровержимыми фактами, необходимыми для объяснения оценки. Ведение текущего списка критических случаев помогает устранить любые недостатки в исполнении обязанностей подчиненными.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Повествовательные формы. Некоторые фирмы используют для оценки персонала повествовательные формы. Например, форма «План улучшения исполнения обязанностей» использованная одной многонациональной компанией для оценки прогрессивности и развития ее внештатных сотрудников.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outlineLvl w:val="0"/>
        <w:rPr>
          <w:rFonts w:ascii="Roboto" w:eastAsia="Times New Roman" w:hAnsi="Roboto" w:cs="Times New Roman"/>
          <w:color w:val="646464"/>
          <w:kern w:val="36"/>
          <w:sz w:val="48"/>
          <w:szCs w:val="48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kern w:val="36"/>
          <w:sz w:val="48"/>
          <w:szCs w:val="48"/>
          <w:lang w:eastAsia="ru-RU"/>
        </w:rPr>
        <w:lastRenderedPageBreak/>
        <w:t>Противоаварийные тренировки персонала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Противоаварийные тренировки являются одной из обязательных форм работы с персоналом энергетических предприятий.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Противоаварийные тренировки проводятся с целью приобретения практических навыков и способности персонала самостоятельно, быстро и технически грамотно действовать при возникновении технологических нарушений, применяя правила технической эксплуатации и техники безопасности, эксплуатационные инструкции и инструкции по охране труда.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В противоаварийных тренировках должны принимать участие оперативные руководители, оперативный и оперативно-ремонтный персонал.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По решению руководителя организации и структурного подразделения к проведению и участию в противоаварийных тренировках могут привлекаться другие работники.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К противоаварийным тренировкам привлекается ремонтный персонал; в ходе тренировки проверяется его готовность к выезду на место условной аварии и способность быстрой ее ликвидации.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Проведение тренировок предусматривает решение задач:</w:t>
      </w:r>
    </w:p>
    <w:p w:rsidR="00F47140" w:rsidRPr="00F47140" w:rsidRDefault="00F47140" w:rsidP="00F47140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проверка способности персонала правильно воспринимать и анализировать информацию о технологическом нарушении, на ее основе принимать оптимально решение по его ликвидации посредством определенного действия или отдачи конкретных распоряжений;</w:t>
      </w:r>
    </w:p>
    <w:p w:rsidR="00F47140" w:rsidRPr="00F47140" w:rsidRDefault="00F47140" w:rsidP="00F47140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обеспечение формирования четких навыков принятия оперативных решений в любой обстановке и в наиболее короткое время;</w:t>
      </w:r>
    </w:p>
    <w:p w:rsidR="00F47140" w:rsidRPr="00F47140" w:rsidRDefault="00F47140" w:rsidP="00F47140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разработка организационных и технических мероприятий, направленных на повышение уровня профессиональной подготовки персонала и надежности работы энергоустановок.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Тренировки проводятся в следующих формах:</w:t>
      </w:r>
    </w:p>
    <w:p w:rsidR="00F47140" w:rsidRPr="00F47140" w:rsidRDefault="00F47140" w:rsidP="00F47140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тренировки по схемам;</w:t>
      </w:r>
    </w:p>
    <w:p w:rsidR="00F47140" w:rsidRPr="00F47140" w:rsidRDefault="00F47140" w:rsidP="00F47140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тренировки с условными действиями персонала;</w:t>
      </w:r>
    </w:p>
    <w:p w:rsidR="00F47140" w:rsidRPr="00F47140" w:rsidRDefault="00F47140" w:rsidP="00F47140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тренировки с воздействиями на коммутационную аппаратуру и элементы релейной защиты и автоматики, аппаратуру управления и выключатели электродвигателей на неработающем оборудовании (находящемся в ремонте или выведенном в резерв);</w:t>
      </w:r>
    </w:p>
    <w:p w:rsidR="00F47140" w:rsidRPr="00F47140" w:rsidRDefault="00F47140" w:rsidP="00F47140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тренировки с использованием технических средств обучения персонала;</w:t>
      </w:r>
    </w:p>
    <w:p w:rsidR="00F47140" w:rsidRPr="00F47140" w:rsidRDefault="00F47140" w:rsidP="00F47140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• комбинированные тренировки.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Тренировки проводятся с воспроизведением условных нарушений в работе энергоустановок, имитацией на рабочем месте оперативных действий по </w:t>
      </w: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lastRenderedPageBreak/>
        <w:t>ликвидации аварий и инцидентов, выполнением операций по управлению оборудованием на тренажерах, оценкой деятельности участников и оформлением нарядов-допусков и бланков переключений.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Основными действующими лицами при проведении тренировок являются руководитель тренировки, участники тренировки и посредники, исполняющие контролирующие функции.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Использование компьютерных т</w:t>
      </w:r>
      <w:r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ренажеров для проведения проти</w:t>
      </w: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воаварийных тренировок может носить дополнительный характер и не должно подменять тренировку на рабочем месте, поскольку, управляя работой компьютера, участник тренировки не приобретает навыков управления реальной энергоустановкой в необходимом объеме. Применение компьютерных тренажеров целесообразно на </w:t>
      </w:r>
      <w:proofErr w:type="spell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энергообъектах</w:t>
      </w:r>
      <w:proofErr w:type="spell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, оборудованных автоматизированными системами управления.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В соответствии с требованиями Правил работы с персоналом в организациях </w:t>
      </w:r>
      <w:r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РК</w:t>
      </w: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и правил технической эксплуатации тепловых энергоустановок, работники из числа оперативного, оперативно-ремонтного и оперативных руководителей участвуют в </w:t>
      </w:r>
      <w:proofErr w:type="spell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против</w:t>
      </w:r>
      <w:proofErr w:type="gramStart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о</w:t>
      </w:r>
      <w:proofErr w:type="spell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-</w:t>
      </w:r>
      <w:proofErr w:type="gramEnd"/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 xml:space="preserve"> аварийных тренировках один раз в три месяца.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Работники из числа оперативного, оперативно-ремонтного и ремонтного персонала, оперативных руководителей организации, персонал постоянных участников ремонтных подразделений, обслуживающих энергоустановки, участвуют один раз в полугодие в одной противопожарной тренировке.</w:t>
      </w:r>
    </w:p>
    <w:p w:rsidR="00F47140" w:rsidRPr="00F47140" w:rsidRDefault="00F47140" w:rsidP="00F47140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</w:pPr>
      <w:r w:rsidRPr="00F47140">
        <w:rPr>
          <w:rFonts w:ascii="Roboto" w:eastAsia="Times New Roman" w:hAnsi="Roboto" w:cs="Times New Roman"/>
          <w:color w:val="646464"/>
          <w:sz w:val="24"/>
          <w:szCs w:val="24"/>
          <w:lang w:eastAsia="ru-RU"/>
        </w:rPr>
        <w:t>На вновь введенных в эксплуатацию энергоустановках, а также на действующих энергоустановках по решению руководителя организации число тренировок может быть увеличено в зависимости от уровня профессиональной подготовки и навыков персонала по предупреждению и ликвидации аварий.</w:t>
      </w:r>
    </w:p>
    <w:p w:rsidR="00F47140" w:rsidRDefault="00F47140" w:rsidP="00F47140"/>
    <w:sectPr w:rsidR="00F47140" w:rsidSect="005F3F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oboto">
    <w:panose1 w:val="02000000000000000000"/>
    <w:charset w:val="CC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4354D"/>
    <w:multiLevelType w:val="multilevel"/>
    <w:tmpl w:val="0A0CE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586B10"/>
    <w:multiLevelType w:val="multilevel"/>
    <w:tmpl w:val="1FE26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907A6D"/>
    <w:multiLevelType w:val="multilevel"/>
    <w:tmpl w:val="D7321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706EB1"/>
    <w:multiLevelType w:val="multilevel"/>
    <w:tmpl w:val="9DAC7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1A56CB4"/>
    <w:multiLevelType w:val="multilevel"/>
    <w:tmpl w:val="E41E0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63E5151"/>
    <w:multiLevelType w:val="multilevel"/>
    <w:tmpl w:val="BBBE1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6B77A4F"/>
    <w:multiLevelType w:val="multilevel"/>
    <w:tmpl w:val="194CC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0F3177D"/>
    <w:multiLevelType w:val="multilevel"/>
    <w:tmpl w:val="74B22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AAB66B6"/>
    <w:multiLevelType w:val="multilevel"/>
    <w:tmpl w:val="2E62B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FF965A3"/>
    <w:multiLevelType w:val="multilevel"/>
    <w:tmpl w:val="E7069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44429FF"/>
    <w:multiLevelType w:val="multilevel"/>
    <w:tmpl w:val="B150B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FAD75AE"/>
    <w:multiLevelType w:val="multilevel"/>
    <w:tmpl w:val="DBE8E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2357C7E"/>
    <w:multiLevelType w:val="multilevel"/>
    <w:tmpl w:val="A1EC4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7761EA5"/>
    <w:multiLevelType w:val="multilevel"/>
    <w:tmpl w:val="C248B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3F27D06"/>
    <w:multiLevelType w:val="multilevel"/>
    <w:tmpl w:val="52807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5B10E5E"/>
    <w:multiLevelType w:val="multilevel"/>
    <w:tmpl w:val="BFF46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BE16562"/>
    <w:multiLevelType w:val="multilevel"/>
    <w:tmpl w:val="54D61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4232384"/>
    <w:multiLevelType w:val="multilevel"/>
    <w:tmpl w:val="587E4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48F541F"/>
    <w:multiLevelType w:val="multilevel"/>
    <w:tmpl w:val="EC984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5"/>
  </w:num>
  <w:num w:numId="3">
    <w:abstractNumId w:val="0"/>
  </w:num>
  <w:num w:numId="4">
    <w:abstractNumId w:val="13"/>
  </w:num>
  <w:num w:numId="5">
    <w:abstractNumId w:val="12"/>
  </w:num>
  <w:num w:numId="6">
    <w:abstractNumId w:val="17"/>
  </w:num>
  <w:num w:numId="7">
    <w:abstractNumId w:val="4"/>
  </w:num>
  <w:num w:numId="8">
    <w:abstractNumId w:val="15"/>
  </w:num>
  <w:num w:numId="9">
    <w:abstractNumId w:val="10"/>
  </w:num>
  <w:num w:numId="10">
    <w:abstractNumId w:val="7"/>
  </w:num>
  <w:num w:numId="11">
    <w:abstractNumId w:val="11"/>
  </w:num>
  <w:num w:numId="12">
    <w:abstractNumId w:val="3"/>
  </w:num>
  <w:num w:numId="13">
    <w:abstractNumId w:val="6"/>
  </w:num>
  <w:num w:numId="14">
    <w:abstractNumId w:val="2"/>
  </w:num>
  <w:num w:numId="15">
    <w:abstractNumId w:val="1"/>
  </w:num>
  <w:num w:numId="16">
    <w:abstractNumId w:val="16"/>
  </w:num>
  <w:num w:numId="17">
    <w:abstractNumId w:val="14"/>
  </w:num>
  <w:num w:numId="18">
    <w:abstractNumId w:val="18"/>
  </w:num>
  <w:num w:numId="1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oNotDisplayPageBoundaries/>
  <w:proofState w:spelling="clean" w:grammar="clean"/>
  <w:defaultTabStop w:val="708"/>
  <w:characterSpacingControl w:val="doNotCompress"/>
  <w:compat/>
  <w:rsids>
    <w:rsidRoot w:val="00F47140"/>
    <w:rsid w:val="005F3F38"/>
    <w:rsid w:val="00F471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F38"/>
  </w:style>
  <w:style w:type="paragraph" w:styleId="1">
    <w:name w:val="heading 1"/>
    <w:basedOn w:val="a"/>
    <w:link w:val="10"/>
    <w:uiPriority w:val="9"/>
    <w:qFormat/>
    <w:rsid w:val="00F4714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471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4714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F47140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F471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F47140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F471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47140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F471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37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82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5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9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14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4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9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14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2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26</Pages>
  <Words>7494</Words>
  <Characters>42716</Characters>
  <Application>Microsoft Office Word</Application>
  <DocSecurity>0</DocSecurity>
  <Lines>355</Lines>
  <Paragraphs>100</Paragraphs>
  <ScaleCrop>false</ScaleCrop>
  <Company/>
  <LinksUpToDate>false</LinksUpToDate>
  <CharactersWithSpaces>50110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2020-12-02T12:42:00Z</dcterms:created>
  <dcterms:modified xsi:type="dcterms:W3CDTF">2020-12-02T12:52:00Z</dcterms:modified>
</cp:coreProperties>
</file>