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2F7" w:rsidRPr="00A502F7" w:rsidRDefault="00A502F7" w:rsidP="00A502F7">
      <w:pPr>
        <w:numPr>
          <w:ilvl w:val="0"/>
          <w:numId w:val="1"/>
        </w:numPr>
        <w:tabs>
          <w:tab w:val="left" w:pos="1120"/>
        </w:tabs>
        <w:spacing w:after="0" w:line="240" w:lineRule="auto"/>
        <w:ind w:right="-7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ПРОВЕРКА ЭЛЕКТРООБОРУДОВАНИЯ ПО УСЛОВИЯМ</w:t>
      </w:r>
    </w:p>
    <w:p w:rsidR="00A502F7" w:rsidRPr="00A502F7" w:rsidRDefault="00A502F7" w:rsidP="00A502F7">
      <w:pPr>
        <w:spacing w:after="0" w:line="240" w:lineRule="auto"/>
        <w:ind w:right="-7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8"/>
          <w:lang w:eastAsia="ru-RU"/>
        </w:rPr>
        <w:t>ЗАЗЕМЛЕНИЕ</w:t>
      </w:r>
    </w:p>
    <w:p w:rsidR="00A502F7" w:rsidRPr="00A502F7" w:rsidRDefault="00A502F7" w:rsidP="00A502F7">
      <w:pPr>
        <w:spacing w:after="0" w:line="240" w:lineRule="auto"/>
        <w:ind w:right="-7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A502F7" w:rsidRPr="00A502F7" w:rsidRDefault="00A502F7" w:rsidP="00A502F7">
      <w:pPr>
        <w:spacing w:after="0" w:line="240" w:lineRule="auto"/>
        <w:ind w:right="-7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A502F7" w:rsidRPr="00A502F7" w:rsidRDefault="00A502F7" w:rsidP="00A502F7">
      <w:pPr>
        <w:spacing w:after="0" w:line="238" w:lineRule="auto"/>
        <w:ind w:firstLine="72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При проектировании и эксплуатации системы электроснабжения предприятия одним из важнейших вопросов является вопрос о заземлении. В зависимости от системы заземления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нейтрали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выбирается защитная аппаратура, изоляция электрооборудования. </w:t>
      </w:r>
    </w:p>
    <w:p w:rsidR="00A502F7" w:rsidRPr="00A502F7" w:rsidRDefault="00A502F7" w:rsidP="00A502F7">
      <w:pPr>
        <w:spacing w:after="0" w:line="238" w:lineRule="auto"/>
        <w:ind w:firstLine="720"/>
        <w:jc w:val="both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Назначение и виды заземлений.</w:t>
      </w:r>
    </w:p>
    <w:p w:rsidR="00A502F7" w:rsidRPr="00A502F7" w:rsidRDefault="00A502F7" w:rsidP="00A502F7">
      <w:pPr>
        <w:spacing w:after="0" w:line="238" w:lineRule="auto"/>
        <w:ind w:firstLine="720"/>
        <w:jc w:val="both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Заземление какой-либо части установки называется преднамеренное соединение ее с заземляющим устройством с целью сохранения на установке низкого потенциала и обеспечения нормальной работы системы или ее элементов в выбранном для них режиме.</w:t>
      </w:r>
    </w:p>
    <w:p w:rsidR="00A502F7" w:rsidRPr="00A502F7" w:rsidRDefault="00A502F7" w:rsidP="00A502F7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43" w:lineRule="auto"/>
        <w:ind w:left="709" w:right="4" w:hanging="4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Различают три вида заземлений: </w:t>
      </w:r>
    </w:p>
    <w:p w:rsidR="00A502F7" w:rsidRPr="00A502F7" w:rsidRDefault="00A502F7" w:rsidP="00A502F7">
      <w:pPr>
        <w:numPr>
          <w:ilvl w:val="0"/>
          <w:numId w:val="3"/>
        </w:numPr>
        <w:tabs>
          <w:tab w:val="left" w:pos="1276"/>
        </w:tabs>
        <w:spacing w:after="0" w:line="240" w:lineRule="auto"/>
        <w:ind w:right="4" w:firstLine="851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рабочее заземление,</w:t>
      </w:r>
    </w:p>
    <w:p w:rsidR="00A502F7" w:rsidRPr="00A502F7" w:rsidRDefault="00A502F7" w:rsidP="00A502F7">
      <w:pPr>
        <w:numPr>
          <w:ilvl w:val="0"/>
          <w:numId w:val="3"/>
        </w:numPr>
        <w:tabs>
          <w:tab w:val="left" w:pos="1276"/>
        </w:tabs>
        <w:spacing w:after="0" w:line="240" w:lineRule="auto"/>
        <w:ind w:right="4" w:firstLine="851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защитное заземление для безопасности людей, </w:t>
      </w:r>
    </w:p>
    <w:p w:rsidR="00A502F7" w:rsidRPr="00A502F7" w:rsidRDefault="00A502F7" w:rsidP="00A502F7">
      <w:pPr>
        <w:numPr>
          <w:ilvl w:val="0"/>
          <w:numId w:val="3"/>
        </w:numPr>
        <w:tabs>
          <w:tab w:val="left" w:pos="1276"/>
        </w:tabs>
        <w:spacing w:after="0" w:line="240" w:lineRule="auto"/>
        <w:ind w:right="4" w:firstLine="851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заземление грозозащитной установки.</w:t>
      </w:r>
    </w:p>
    <w:p w:rsidR="00A502F7" w:rsidRPr="00A502F7" w:rsidRDefault="00A502F7" w:rsidP="00A502F7">
      <w:pPr>
        <w:spacing w:after="0" w:line="234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Рабочее и защитное заземление должны выполнять свое назначение в течение всего года, тогда как заземление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грозозащиты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лишь в грозовой сезон.</w:t>
      </w:r>
      <w:bookmarkStart w:id="0" w:name="page28"/>
      <w:bookmarkEnd w:id="0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Для реализации любого вида заземления требуется заземляющее устройство, состоящее из заземлителя, располагаемого в земле и заземляющего проводника, соединяющего оборудование с заземлителем.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К рабочему заземлению относится заземление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нейтралей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силовых трансформаторов и генераторов, трансформаторов напряжения, реакторов поперечной компенсации в дальних линиях электропередачи и заземление фазы при использовании земли в качестве рабочего провода.</w:t>
      </w:r>
    </w:p>
    <w:p w:rsidR="00A502F7" w:rsidRPr="00A502F7" w:rsidRDefault="00A502F7" w:rsidP="00A502F7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18" w:lineRule="exact"/>
        <w:ind w:firstLine="709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Заземление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грозозащиты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служит для отвода тока молнии в землю от защитных разрядников и ограничителей перенапряжения, а также стержневых или тросовых молниеотводов.</w:t>
      </w:r>
    </w:p>
    <w:p w:rsidR="00A502F7" w:rsidRPr="00A502F7" w:rsidRDefault="00A502F7" w:rsidP="00A502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Большую опасность для изоляции линий электропереда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>чи имеют разряды атмосферного электричества (молнии) в опоры и провода линии, а также разряды молнии в землю вблизи трассы линии. При таких разрядах токи молнии достигают нескольких десятков тысяч ампер и на изоля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>ции линии возникают кратковременные напряжения, во много раз превышающие рабочее напряжение линии электро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>передачи.</w:t>
      </w:r>
    </w:p>
    <w:p w:rsidR="00A502F7" w:rsidRPr="00A502F7" w:rsidRDefault="00A502F7" w:rsidP="00A502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Для защиты линий электропередачи от повреждений при разрядах молний служат специальные устройства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грозозащиты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, к которым относятся грозозащитные тросы, стерж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>невые молниеотводы, трубчатые разрядники и устройства заземления.</w:t>
      </w:r>
    </w:p>
    <w:p w:rsidR="00A502F7" w:rsidRPr="00A502F7" w:rsidRDefault="00A502F7" w:rsidP="00A502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Грозозащитный трос подвешивается на линиях напряжением 110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кВ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и выше, сооруженных на металлических и железобетонных опорах. На линиях 110—220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кВ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с деревянными опорами и линиях 35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кВ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трос подвешивается обычно только на подходах к подстанциям.</w:t>
      </w:r>
    </w:p>
    <w:p w:rsidR="00A502F7" w:rsidRPr="00A502F7" w:rsidRDefault="00A502F7" w:rsidP="00A502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Подвеска тросов на линиях с деревянными опорами по всей длине оказывается нецелесообразной, так как древесина опор при грозовых 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lastRenderedPageBreak/>
        <w:t>разрядах имеет высокую электри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 xml:space="preserve">ческую прочность, и общая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грозоупорность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таких линий оказывается достаточно большой. Подвеска же тросов на подходах к подстанциям длиной 1,5—2 км обеспечивает защиту оборудования подстанций от грозовых перенапряжений, приходящих с линии.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Подвеска тросов на линиях 35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кВ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и ниже не имеет смыс</w:t>
      </w:r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softHyphen/>
        <w:t xml:space="preserve">ла, так как изоляция этих линий при грозовых разрядах очень мала, и подвеска тросов не обеспечивает </w:t>
      </w:r>
      <w:proofErr w:type="gram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достаточной</w:t>
      </w:r>
      <w:proofErr w:type="gram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 xml:space="preserve"> </w:t>
      </w:r>
      <w:proofErr w:type="spellStart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грозозащиты</w:t>
      </w:r>
      <w:proofErr w:type="spellEnd"/>
      <w:r w:rsidRPr="00A502F7">
        <w:rPr>
          <w:rFonts w:ascii="Times New Roman" w:eastAsia="Calibri" w:hAnsi="Times New Roman" w:cs="Times New Roman"/>
          <w:snapToGrid w:val="0"/>
          <w:color w:val="000000"/>
          <w:sz w:val="28"/>
          <w:szCs w:val="28"/>
          <w:lang w:eastAsia="ru-RU"/>
        </w:rPr>
        <w:t>. Грозозащитный трос заземляется на каждой опоре.</w:t>
      </w:r>
    </w:p>
    <w:p w:rsidR="00A502F7" w:rsidRPr="00A502F7" w:rsidRDefault="00A502F7" w:rsidP="00A502F7">
      <w:pPr>
        <w:spacing w:after="0" w:line="13" w:lineRule="exact"/>
        <w:ind w:firstLine="709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14" w:lineRule="exact"/>
        <w:ind w:firstLine="709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8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Заземлители подразделяются на естественные и искусственные. Естественными заземлителями считаются проложенные в земле конструкции, не предназначенные для целей заземления, но используемые как заземлители. К 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естественным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заземлителям относятся металлические трубопроводы, обсадные трубы, арматура железобетонных конструкций сооружений и т. п.</w:t>
      </w:r>
    </w:p>
    <w:p w:rsidR="00A502F7" w:rsidRPr="00A502F7" w:rsidRDefault="00A502F7" w:rsidP="00A502F7">
      <w:pPr>
        <w:spacing w:after="0" w:line="16" w:lineRule="exact"/>
        <w:ind w:firstLine="709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8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Искусственные заземлители выполняются только для заземления.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Искусственный заземлитель может состоять из одного или многих вертикальных и горизонтальных электродов и характеризуется значением сопротивления от поверхности заземлителя до уровня нулевого потенциала, которое окружающая земля оказывает стекающему с него току.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Сопротивление заземлителя определяется отношением потенциала на заземлителе к стекающему с него току.</w:t>
      </w:r>
      <w:bookmarkStart w:id="1" w:name="page30"/>
      <w:bookmarkStart w:id="2" w:name="page31"/>
      <w:bookmarkEnd w:id="1"/>
      <w:bookmarkEnd w:id="2"/>
    </w:p>
    <w:p w:rsidR="00A502F7" w:rsidRPr="00A502F7" w:rsidRDefault="00A502F7" w:rsidP="00A502F7">
      <w:pPr>
        <w:spacing w:after="0" w:line="238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Защитное заземление – это преднамеренное электрическое соединение с землёй или её эквивалентом металлических нетоковедущих частей электроустановок, которые могут оказаться под напряжением. Например, при замыкании фазы на корпус.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Задача защитного заземления состоит в устранении опасности поражения электрическим током в случае прикосновения к корпусу и другим нетоковедущим металлическим частям электроустановок, оказавшимся под напряжением.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Принцип действия. 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Снижение напряжения между корпусом, оказавшимся под напряжением, и землёй до безопасного значения.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519680" cy="2052320"/>
            <wp:effectExtent l="0" t="0" r="0" b="5080"/>
            <wp:docPr id="2" name="Рисунок 2" descr="wscst657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scst65747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Если корпус электрооборудования не заземлён и оказался под напряжением в результате пробоя фазы, то прикосновение к такому корпусу </w:t>
      </w:r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равносильно прикосновению к фазе. В этом случае ток, проходящий через человека, может достигнуть опасных значений. При применении же заземления большая часть тока </w:t>
      </w:r>
      <w:proofErr w:type="spellStart"/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поёдёт</w:t>
      </w:r>
      <w:proofErr w:type="spellEnd"/>
      <w:r w:rsidRPr="00A502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через него. В результате ток через человека достигает безопасных значений. </w:t>
      </w: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Достигается это уменьшением потенциала заземленного оборудования за счет малого сопротивления заземлителя, а также путем выравнивания потенциалов основания, на котором находится человек и заземленного оборудования за счет подъема потенциала основания до уровня потенциала заземленного оборудования.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Защитное заземление – это параллельное включение в электрическую цепь заземлителя со значительно меньшим сопротивлением </w:t>
      </w:r>
      <w:proofErr w:type="spellStart"/>
      <w:proofErr w:type="gram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proofErr w:type="gram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з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&lt;&lt;</w:t>
      </w:r>
      <w:proofErr w:type="spell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r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(рис. 3.3.4.6)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сетях с напряжением до 1000В сопротивление заземляющего устройства должно быть не более 4 Ом, при напряжении выше 1000В — не более-0.5 Ом.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таком включение в электрическую цепь ток, проходящий через человека, будет равен: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</w:t>
      </w:r>
      <w:r w:rsidRPr="00A502F7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13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48pt" o:ole="" fillcolor="window">
            <v:imagedata r:id="rId7" o:title=""/>
          </v:shape>
          <o:OLEObject Type="Embed" ProgID="Equation.3" ShapeID="_x0000_i1025" DrawAspect="Content" ObjectID="_1641728191" r:id="rId8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(3.4.21)                          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где, </w:t>
      </w:r>
      <w:proofErr w:type="spell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r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сопротивление тела человека, Ом 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spellStart"/>
      <w:proofErr w:type="gram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I</w:t>
      </w:r>
      <w:proofErr w:type="gram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общ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общий проходящий ток через два заземлителя (тело человека и заземлитель), Ом;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spellStart"/>
      <w:proofErr w:type="gram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proofErr w:type="gram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общ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–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 сопротивление заземлителей, Ом.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object w:dxaOrig="8230" w:dyaOrig="2743">
          <v:shape id="_x0000_i1026" type="#_x0000_t75" style="width:246.75pt;height:82.5pt" o:ole="">
            <v:imagedata r:id="rId9" o:title=""/>
          </v:shape>
          <o:OLEObject Type="Embed" ProgID="Photoshop.Image.8" ShapeID="_x0000_i1026" DrawAspect="Content" ObjectID="_1641728192" r:id="rId10">
            <o:FieldCodes>\s</o:FieldCodes>
          </o:OLEObject>
        </w:objec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Рис 3.4.6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Защитное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заземленне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: а – схема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заземления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корпуса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электрооборудования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;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б-эквивалентная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электрическая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схема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1540" w:dyaOrig="700">
          <v:shape id="_x0000_i1027" type="#_x0000_t75" style="width:94.5pt;height:43.5pt" o:ole="" fillcolor="window">
            <v:imagedata r:id="rId11" o:title=""/>
          </v:shape>
          <o:OLEObject Type="Embed" ProgID="Equation.3" ShapeID="_x0000_i1027" DrawAspect="Content" ObjectID="_1641728193" r:id="rId12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(3.4.22)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tabs>
          <w:tab w:val="left" w:pos="720"/>
          <w:tab w:val="center" w:pos="494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position w:val="-56"/>
          <w:sz w:val="28"/>
          <w:szCs w:val="28"/>
          <w:lang w:eastAsia="ru-RU"/>
        </w:rPr>
        <w:object w:dxaOrig="1800" w:dyaOrig="980">
          <v:shape id="_x0000_i1028" type="#_x0000_t75" style="width:103.5pt;height:57pt" o:ole="" fillcolor="window">
            <v:imagedata r:id="rId13" o:title=""/>
          </v:shape>
          <o:OLEObject Type="Embed" ProgID="Equation.3" ShapeID="_x0000_i1028" DrawAspect="Content" ObjectID="_1641728194" r:id="rId14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(3.4.23)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После подстановки значений </w:t>
      </w:r>
      <w:proofErr w:type="spellStart"/>
      <w:proofErr w:type="gram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proofErr w:type="gram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общ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proofErr w:type="spell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I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общ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формулу / 3.4.21/ получим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1400" w:dyaOrig="720">
          <v:shape id="_x0000_i1029" type="#_x0000_t75" style="width:88.5pt;height:45pt" o:ole="" fillcolor="window">
            <v:imagedata r:id="rId15" o:title=""/>
          </v:shape>
          <o:OLEObject Type="Embed" ProgID="Equation.3" ShapeID="_x0000_i1029" DrawAspect="Content" ObjectID="_1641728195" r:id="rId16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(3.4.24)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Пример.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Определить величину поражающего тока при однофазном включении человека в трехфазную сеть с </w:t>
      </w:r>
      <w:proofErr w:type="gramStart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изолированной</w:t>
      </w:r>
      <w:proofErr w:type="gramEnd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нейтралью</w:t>
      </w:r>
      <w:proofErr w:type="spellEnd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Допустим, что сопротивление пола и обуви: </w:t>
      </w:r>
      <w:proofErr w:type="spellStart"/>
      <w:proofErr w:type="gram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proofErr w:type="gram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п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= </w:t>
      </w:r>
      <w:proofErr w:type="spell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об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= 0  </w:t>
      </w:r>
      <w:proofErr w:type="spellStart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u</w:t>
      </w:r>
      <w:proofErr w:type="spellEnd"/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= 3000 Ом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отсутствии заземления ток поражения: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position w:val="-56"/>
          <w:sz w:val="28"/>
          <w:szCs w:val="28"/>
          <w:lang w:eastAsia="ru-RU"/>
        </w:rPr>
        <w:object w:dxaOrig="3519" w:dyaOrig="980">
          <v:shape id="_x0000_i1030" type="#_x0000_t75" style="width:183pt;height:51.75pt" o:ole="" fillcolor="window">
            <v:imagedata r:id="rId17" o:title=""/>
          </v:shape>
          <o:OLEObject Type="Embed" ProgID="Equation.3" ShapeID="_x0000_i1030" DrawAspect="Content" ObjectID="_1641728196" r:id="rId18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наличии защитного заземления: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4020" w:dyaOrig="720">
          <v:shape id="_x0000_i1031" type="#_x0000_t75" style="width:227.25pt;height:40.5pt" o:ole="">
            <v:imagedata r:id="rId19" o:title=""/>
          </v:shape>
          <o:OLEObject Type="Embed" ProgID="Equation.3" ShapeID="_x0000_i1031" DrawAspect="Content" ObjectID="_1641728197" r:id="rId20"/>
        </w:objec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видим, ток поражения при наличии заземляющего устройства  значительно меньше удерживающего.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Заземление установок заключается в соединении с землей их металлических частей (нормально не находящихся под напряжением) с заземлителем, имеющим малое сопротивление растеканию тока.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Заземляющее устройство состоит из заземлителей, заземляющих шин и проводов, соединяющих корпуса электроустановок с заземлителями.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зависимости от расположения заземлителей относительно заземленного оборудования, заземляющие устройства подразделяют на выносные и контурные (рис 3.4.7).</w:t>
      </w:r>
      <w:proofErr w:type="gramEnd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Заземлители выносного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заземляющего устройства выносятся на некоторое удаление от заземляемого оборудования. </w:t>
      </w:r>
      <w:r w:rsidRPr="00A502F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Контурное заземляющее</w:t>
      </w: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устройство обеспечивает более высокую степень защиты, так как  заземлители располагаются по контуру всего заземляемого оборудования.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3816985" cy="17011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98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Calibri" w:eastAsia="Calibri" w:hAnsi="Calibri" w:cs="Arial"/>
          <w:sz w:val="28"/>
          <w:szCs w:val="28"/>
          <w:lang w:val="uk-UA" w:eastAsia="ru-RU"/>
        </w:rPr>
      </w:pP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Рис 3.4.7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Выносное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(а) и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контурное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(б) </w:t>
      </w:r>
      <w:proofErr w:type="spellStart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заземления</w:t>
      </w:r>
      <w:proofErr w:type="spellEnd"/>
      <w:r w:rsidRPr="00A502F7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: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1-электроды (</w:t>
      </w:r>
      <w:proofErr w:type="spellStart"/>
      <w:r w:rsidRPr="00A502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заземлители</w:t>
      </w:r>
      <w:proofErr w:type="spellEnd"/>
      <w:r w:rsidRPr="00A502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); 2-токовды (</w:t>
      </w:r>
      <w:proofErr w:type="spellStart"/>
      <w:r w:rsidRPr="00A502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шины</w:t>
      </w:r>
      <w:proofErr w:type="spellEnd"/>
      <w:r w:rsidRPr="00A502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); 3-электроустановки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На практике заземление осуществляется в следующем порядке: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выбирается заземляющее устройство (искусственное или естественное);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- рассчитывается заземляющее устройство;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-отдельные электроды (заземлители) объединяются в одно общее заземляющее устройство;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- корпуса электроустановок соединяются с заземляющим устройством;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sz w:val="28"/>
          <w:szCs w:val="28"/>
          <w:lang w:eastAsia="ru-RU"/>
        </w:rPr>
        <w:t>-составляется документация для приемки заземляющего устройства в эксплуатацию</w:t>
      </w:r>
      <w:r w:rsidRPr="00A502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выборе заземляющего устройства часто используют, естественные заземлители, которыми служат трубопроводы, проложенные в земле и имеющие хороший конта</w:t>
      </w:r>
      <w:proofErr w:type="gramStart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кт с гр</w:t>
      </w:r>
      <w:proofErr w:type="gramEnd"/>
      <w:r w:rsidRPr="00A502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унтом, стальные трубы электропроводов. При строительстве промышленных зданий в качестве естественных заземлителей могут быть использованы металлические каркасы зданий.</w:t>
      </w:r>
    </w:p>
    <w:p w:rsidR="00A502F7" w:rsidRPr="00A502F7" w:rsidRDefault="00A502F7" w:rsidP="00A502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Трубопроводы для горючих жидкостей и взрывоопасных газов использовать в качестве заземлителей запрещается. Металлические и железобетонные конструкции при использовании их в качестве заземляющих устройств должны образовывать непрерывную электрическую цепь по металлу.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При отсутствии естественных заземлителей устраивают искусственные, в качестве которых применяют металлические трубы, стержни или угловую сталь, забитые в землю на 0,5—0,8 м ниже уровня земли и приваренные к шине, уложенной на глубине 0,5—0,8 м. Расстояние между вертикально забитыми заземлителями должно быть не менее их длины.</w:t>
      </w:r>
      <w:proofErr w:type="gramEnd"/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Соединение элементов заземляющих устройств осуществляется с помощью сварки, а корпуса машин и аппаратов соединяются с проводниками заземляющих устрой</w:t>
      </w:r>
      <w:proofErr w:type="gramStart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ств св</w:t>
      </w:r>
      <w:proofErr w:type="gramEnd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аркой, надежными болтовыми соединениями. Минимальное поперечное сечение заземляющих голых медных проводов должно быть 4 мм</w:t>
      </w:r>
      <w:proofErr w:type="gramStart"/>
      <w:r w:rsidRPr="00A502F7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, алюминиевых - 6 мм</w:t>
      </w:r>
      <w:r w:rsidRPr="00A502F7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2</w:t>
      </w: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, стальных - 24 мм</w:t>
      </w:r>
      <w:r w:rsidRPr="00A502F7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2</w:t>
      </w: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Заземляющие проводники, расположенные в помещениях, должны быть доступны для осмотра, защищены от коррозии. Каждый заземляемый элемент установки должен быть присое</w:t>
      </w: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динен к заземлителю или заземляющей магистрали посредством отдельного ответвления (параллельное заземление). Последовательное включение в заземляющий проводник нескольких заземляемых частей установки запрещается. При приемке в эксплуатацию каждого заземляющего устройства необходимо иметь: паспорт, включающий исполнительные чертежи и схемы заземляющего устройства с указанием расположения подземных коммуникаций; акты на подземные работы по укладке элементов заземляющего устройства; протоколы приемо-сдаточных испытаний заземляющего устройства.</w:t>
      </w:r>
    </w:p>
    <w:p w:rsidR="00A502F7" w:rsidRPr="00A502F7" w:rsidRDefault="00A502F7" w:rsidP="00A502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Измерение сопротивления заземляющих устрой</w:t>
      </w:r>
      <w:proofErr w:type="gramStart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>ств пр</w:t>
      </w:r>
      <w:proofErr w:type="gramEnd"/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оизводится в первый год эксплуатации, а в дальнейшем - не реже одного раза в три года, для цеховых электроустановок - не реже одного раза в год. Измерение сопротивления заземлителей, удельного сопротивления грунта проводится в </w:t>
      </w:r>
      <w:r w:rsidRPr="00A502F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периоды наименьшей проводимости (летом, зимой). Срок службы заземлителей — 25-30 лет.</w:t>
      </w:r>
    </w:p>
    <w:p w:rsidR="00A502F7" w:rsidRPr="00A502F7" w:rsidRDefault="00A502F7" w:rsidP="00A502F7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0" w:lineRule="atLeast"/>
        <w:ind w:left="2080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  <w:bookmarkStart w:id="3" w:name="page100"/>
      <w:bookmarkEnd w:id="3"/>
      <w:r w:rsidRPr="00A502F7">
        <w:rPr>
          <w:rFonts w:ascii="Times New Roman" w:eastAsia="Times New Roman" w:hAnsi="Times New Roman" w:cs="Arial"/>
          <w:b/>
          <w:sz w:val="32"/>
          <w:szCs w:val="20"/>
          <w:lang w:eastAsia="ru-RU"/>
        </w:rPr>
        <w:t>Электрический баланс предприятия.</w:t>
      </w:r>
    </w:p>
    <w:p w:rsidR="00A502F7" w:rsidRPr="00A502F7" w:rsidRDefault="00A502F7" w:rsidP="00A502F7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6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86" w:lineRule="exact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A502F7" w:rsidRPr="00A502F7" w:rsidRDefault="00A502F7" w:rsidP="00A502F7">
      <w:pPr>
        <w:spacing w:after="0" w:line="236" w:lineRule="auto"/>
        <w:ind w:left="72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предприятия состоит из доходной и расходной частей.</w:t>
      </w:r>
    </w:p>
    <w:p w:rsidR="00A502F7" w:rsidRPr="00A502F7" w:rsidRDefault="00A502F7" w:rsidP="00A502F7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7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Приходная часть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электробаланса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отражает количество электроэнергии, поступающая от энергосистем или других источников на предприятие; расходная часть – количество израсходованной электроэнергии. Приходная и расходная части должны быть равны между собой.</w:t>
      </w:r>
    </w:p>
    <w:p w:rsidR="00A502F7" w:rsidRPr="00A502F7" w:rsidRDefault="00A502F7" w:rsidP="00A502F7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7" w:lineRule="auto"/>
        <w:ind w:firstLine="72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На предприятиях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составляют по отдельным агрегатам, цехам и предприятия в целом. Он охватывает все основные части прихода и расхода электроэнергии, затрачиваемой на технологический процесс, вспомогательные работы, а также потери в оборудовании и электросетях.</w:t>
      </w:r>
    </w:p>
    <w:p w:rsidR="00A502F7" w:rsidRPr="00A502F7" w:rsidRDefault="00A502F7" w:rsidP="00A502F7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0" w:lineRule="atLeast"/>
        <w:ind w:left="72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Различают три вида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электробаланса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:</w:t>
      </w:r>
    </w:p>
    <w:p w:rsidR="00A502F7" w:rsidRPr="00A502F7" w:rsidRDefault="00A502F7" w:rsidP="00A502F7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numPr>
          <w:ilvl w:val="0"/>
          <w:numId w:val="2"/>
        </w:numPr>
        <w:tabs>
          <w:tab w:val="left" w:pos="0"/>
          <w:tab w:val="left" w:pos="1134"/>
        </w:tabs>
        <w:spacing w:after="0" w:line="235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фактический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, отражающий сложившиеся в цехе или предприятии производственные условия;</w:t>
      </w:r>
    </w:p>
    <w:p w:rsidR="00A502F7" w:rsidRPr="00A502F7" w:rsidRDefault="00A502F7" w:rsidP="00A502F7">
      <w:pPr>
        <w:numPr>
          <w:ilvl w:val="0"/>
          <w:numId w:val="2"/>
        </w:numPr>
        <w:tabs>
          <w:tab w:val="left" w:pos="0"/>
          <w:tab w:val="left" w:pos="1134"/>
        </w:tabs>
        <w:spacing w:after="0" w:line="235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нормализованный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, в котором учитываются возможности рационализации и оптимизации процессов электропотребления и снижения потерь в механизмах и электрических сетях;</w:t>
      </w:r>
    </w:p>
    <w:p w:rsidR="00A502F7" w:rsidRPr="00A502F7" w:rsidRDefault="00A502F7" w:rsidP="00A502F7">
      <w:pPr>
        <w:numPr>
          <w:ilvl w:val="0"/>
          <w:numId w:val="2"/>
        </w:numPr>
        <w:tabs>
          <w:tab w:val="left" w:pos="0"/>
          <w:tab w:val="left" w:pos="1134"/>
        </w:tabs>
        <w:spacing w:after="0" w:line="235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перспективный, составляемый с учетом прогнозируемого развития производства и его качественных изменений на определенный срок.</w:t>
      </w:r>
    </w:p>
    <w:p w:rsidR="00A502F7" w:rsidRPr="00A502F7" w:rsidRDefault="00A502F7" w:rsidP="00A502F7">
      <w:pPr>
        <w:spacing w:after="0" w:line="2" w:lineRule="exact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A502F7" w:rsidRPr="00A502F7" w:rsidRDefault="00A502F7" w:rsidP="00A502F7">
      <w:pPr>
        <w:spacing w:after="0" w:line="239" w:lineRule="auto"/>
        <w:ind w:left="72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предприятия составляется для 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активной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и реактивной</w:t>
      </w:r>
    </w:p>
    <w:p w:rsidR="00A502F7" w:rsidRPr="00A502F7" w:rsidRDefault="00A502F7" w:rsidP="00A502F7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7" w:lineRule="auto"/>
        <w:ind w:left="4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энергии. В 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сводном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электробалансе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предприятия приходная часть включает в себя энергию, поступившую от всех источников ее выработки. Приходная часть по реактивной мощности содержит также данные о выработке реактивной энергии всеми источниками реактивной мощности.</w:t>
      </w:r>
    </w:p>
    <w:p w:rsidR="00A502F7" w:rsidRPr="00A502F7" w:rsidRDefault="00A502F7" w:rsidP="00A502F7">
      <w:pPr>
        <w:spacing w:after="0" w:line="239" w:lineRule="auto"/>
        <w:ind w:left="72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Расходная часть содержит:</w:t>
      </w:r>
    </w:p>
    <w:p w:rsidR="00A502F7" w:rsidRPr="00A502F7" w:rsidRDefault="00A502F7" w:rsidP="00A502F7">
      <w:pPr>
        <w:numPr>
          <w:ilvl w:val="0"/>
          <w:numId w:val="4"/>
        </w:numPr>
        <w:tabs>
          <w:tab w:val="left" w:pos="1134"/>
        </w:tabs>
        <w:spacing w:after="0" w:line="239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прямые затраты электроэнергии 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на основной технологический процесс с выделением полезного расхода электроэнергии на выпуск продукции без учета потерь в различных звеньях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технологического оборудования, </w:t>
      </w:r>
    </w:p>
    <w:p w:rsidR="00A502F7" w:rsidRPr="00A502F7" w:rsidRDefault="00A502F7" w:rsidP="00A502F7">
      <w:pPr>
        <w:numPr>
          <w:ilvl w:val="0"/>
          <w:numId w:val="4"/>
        </w:numPr>
        <w:tabs>
          <w:tab w:val="left" w:pos="0"/>
          <w:tab w:val="left" w:pos="1134"/>
        </w:tabs>
        <w:spacing w:after="0" w:line="239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косвенные затраты электроэнергии на основной технологический проце</w:t>
      </w:r>
      <w:proofErr w:type="gram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сс всл</w:t>
      </w:r>
      <w:proofErr w:type="gram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едствие его несовершенства или нарушение технических норм (например предварительный нагрев электропечи),</w:t>
      </w:r>
    </w:p>
    <w:p w:rsidR="00A502F7" w:rsidRPr="00A502F7" w:rsidRDefault="00A502F7" w:rsidP="00A502F7">
      <w:pPr>
        <w:numPr>
          <w:ilvl w:val="0"/>
          <w:numId w:val="4"/>
        </w:numPr>
        <w:tabs>
          <w:tab w:val="left" w:pos="0"/>
          <w:tab w:val="left" w:pos="1134"/>
        </w:tabs>
        <w:spacing w:after="0" w:line="239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затраты электроэнергии на вспомогательные нужды (вентиляция, обогрев и др.), потери электроэнергии в элементах системы электроснабжения,</w:t>
      </w:r>
    </w:p>
    <w:p w:rsidR="00A502F7" w:rsidRPr="00A502F7" w:rsidRDefault="00A502F7" w:rsidP="00A502F7">
      <w:pPr>
        <w:numPr>
          <w:ilvl w:val="0"/>
          <w:numId w:val="4"/>
        </w:numPr>
        <w:tabs>
          <w:tab w:val="left" w:pos="0"/>
          <w:tab w:val="left" w:pos="1134"/>
        </w:tabs>
        <w:spacing w:after="0" w:line="239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отпуск электроэнергии посторонним потребителям.</w:t>
      </w:r>
    </w:p>
    <w:p w:rsidR="00A502F7" w:rsidRPr="00A502F7" w:rsidRDefault="00A502F7" w:rsidP="00A502F7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34" w:lineRule="auto"/>
        <w:ind w:firstLine="72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Наличие всех составляющих расходной части вовсе не является обязательным.</w:t>
      </w:r>
    </w:p>
    <w:p w:rsidR="00A502F7" w:rsidRPr="00A502F7" w:rsidRDefault="00A502F7" w:rsidP="00A502F7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0" w:lineRule="atLeast"/>
        <w:ind w:left="72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lastRenderedPageBreak/>
        <w:t xml:space="preserve">Задачами составления </w:t>
      </w:r>
      <w:proofErr w:type="spellStart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электробаланса</w:t>
      </w:r>
      <w:proofErr w:type="spellEnd"/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являются:</w:t>
      </w:r>
    </w:p>
    <w:p w:rsidR="00A502F7" w:rsidRPr="00A502F7" w:rsidRDefault="00A502F7" w:rsidP="00A502F7">
      <w:pPr>
        <w:numPr>
          <w:ilvl w:val="0"/>
          <w:numId w:val="5"/>
        </w:numPr>
        <w:tabs>
          <w:tab w:val="left" w:pos="1134"/>
        </w:tabs>
        <w:spacing w:after="0" w:line="0" w:lineRule="atLeast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определение расхода электроэнергии для четкого выделения расхода электроэнергии на основную продукцию,</w:t>
      </w:r>
    </w:p>
    <w:p w:rsidR="00A502F7" w:rsidRPr="00A502F7" w:rsidRDefault="00A502F7" w:rsidP="00A502F7">
      <w:pPr>
        <w:numPr>
          <w:ilvl w:val="0"/>
          <w:numId w:val="5"/>
        </w:numPr>
        <w:tabs>
          <w:tab w:val="left" w:pos="1134"/>
        </w:tabs>
        <w:spacing w:after="0" w:line="0" w:lineRule="atLeast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определение действительных норм расхода электроэнергии на единицу продукции предприятия,</w:t>
      </w:r>
    </w:p>
    <w:p w:rsidR="00A502F7" w:rsidRPr="00A502F7" w:rsidRDefault="00A502F7" w:rsidP="00A502F7">
      <w:pPr>
        <w:numPr>
          <w:ilvl w:val="0"/>
          <w:numId w:val="5"/>
        </w:numPr>
        <w:tabs>
          <w:tab w:val="left" w:pos="1134"/>
        </w:tabs>
        <w:spacing w:after="0" w:line="0" w:lineRule="atLeast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502F7">
        <w:rPr>
          <w:rFonts w:ascii="Times New Roman" w:eastAsia="Times New Roman" w:hAnsi="Times New Roman" w:cs="Arial"/>
          <w:sz w:val="28"/>
          <w:szCs w:val="20"/>
          <w:lang w:eastAsia="ru-RU"/>
        </w:rPr>
        <w:t>выявление возможности сокращения непроизводственных расходов электроэнергии и уменьшения расхода электроэнергии на выпуск основной продукции путем проведения мероприятий, совершенствующих производственный процесс.</w:t>
      </w:r>
    </w:p>
    <w:p w:rsidR="00A502F7" w:rsidRPr="00A502F7" w:rsidRDefault="00A502F7" w:rsidP="00A502F7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502F7" w:rsidRPr="00A502F7" w:rsidRDefault="00A502F7" w:rsidP="00A502F7">
      <w:pPr>
        <w:spacing w:after="0" w:line="240" w:lineRule="auto"/>
        <w:ind w:left="1120" w:right="-7"/>
        <w:jc w:val="both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A502F7" w:rsidRPr="00A502F7" w:rsidRDefault="00A502F7" w:rsidP="00A502F7">
      <w:pPr>
        <w:spacing w:after="0" w:line="240" w:lineRule="auto"/>
        <w:ind w:left="1120" w:right="-7"/>
        <w:jc w:val="both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762F32" w:rsidRDefault="00A502F7">
      <w:bookmarkStart w:id="4" w:name="_GoBack"/>
      <w:bookmarkEnd w:id="4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2"/>
    <w:multiLevelType w:val="hybridMultilevel"/>
    <w:tmpl w:val="684A481A"/>
    <w:lvl w:ilvl="0" w:tplc="FFFFFFFF">
      <w:start w:val="1"/>
      <w:numFmt w:val="decimal"/>
      <w:lvlText w:val="8.1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44"/>
    <w:multiLevelType w:val="hybridMultilevel"/>
    <w:tmpl w:val="42C296B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E9D495D"/>
    <w:multiLevelType w:val="hybridMultilevel"/>
    <w:tmpl w:val="8A6E34A4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>
    <w:nsid w:val="104C5C95"/>
    <w:multiLevelType w:val="hybridMultilevel"/>
    <w:tmpl w:val="A20AD8BE"/>
    <w:lvl w:ilvl="0" w:tplc="41EA08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2B4C9B"/>
    <w:multiLevelType w:val="hybridMultilevel"/>
    <w:tmpl w:val="CE5E86F2"/>
    <w:lvl w:ilvl="0" w:tplc="24DEA0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2F7"/>
    <w:rsid w:val="00097047"/>
    <w:rsid w:val="007D5BD1"/>
    <w:rsid w:val="00A502F7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2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2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1872</Words>
  <Characters>10676</Characters>
  <Application>Microsoft Office Word</Application>
  <DocSecurity>0</DocSecurity>
  <Lines>88</Lines>
  <Paragraphs>25</Paragraphs>
  <ScaleCrop>false</ScaleCrop>
  <Company/>
  <LinksUpToDate>false</LinksUpToDate>
  <CharactersWithSpaces>12523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2020-01-28T08:50:00Z</dcterms:created>
  <dcterms:modified xsi:type="dcterms:W3CDTF">2020-01-28T08:50:00Z</dcterms:modified>
</cp:coreProperties>
</file>