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B3D" w:rsidRPr="00A24730" w:rsidRDefault="00E35B3D" w:rsidP="00E35B3D">
      <w:pPr>
        <w:ind w:left="124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5.5. РАСЧЕТ МАКСИМАЛЬНЫХ НАГРУЗОК ПО УРОВНЯМ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left="344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ЭЛЕКТРОСНАБЖЕНИЯ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При определении максимальной нагрузки в системе электроснабжения рассматривают шесть основных уровней или ступеней, различающихся характером электропотребления и, как следствие способом расчета электрических нагрузок: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I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уровень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- линии электрической сети, связывающие отдельные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с распределительным пунктом, к которому они подключены;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II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уровень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- линии распределительной сети напряжением до 1кВ, обеспечивающие связь силовых распределительных пунктов, щитов, шкафов, а также магистральных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шинопроводы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;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III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уровень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- низковольтные шины цеховой трансформаторной подстанции;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page60"/>
      <w:bookmarkEnd w:id="0"/>
      <w:r w:rsidRPr="00A24730">
        <w:rPr>
          <w:rFonts w:ascii="Times New Roman" w:eastAsia="Times New Roman" w:hAnsi="Times New Roman"/>
          <w:sz w:val="28"/>
          <w:szCs w:val="28"/>
          <w:u w:val="single"/>
        </w:rPr>
        <w:t>IV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уровень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- шины распределительных пунктов и линий, подходящих к ним;</w:t>
      </w:r>
    </w:p>
    <w:p w:rsidR="00E35B3D" w:rsidRPr="00A24730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V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уровень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- шины низшего напряжения ГГШ, НТВ,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ЦРП.</w:t>
      </w:r>
    </w:p>
    <w:p w:rsidR="00E35B3D" w:rsidRDefault="00E35B3D" w:rsidP="00E35B3D">
      <w:pPr>
        <w:tabs>
          <w:tab w:val="left" w:pos="1420"/>
          <w:tab w:val="left" w:pos="2640"/>
          <w:tab w:val="left" w:pos="5000"/>
          <w:tab w:val="left" w:pos="5420"/>
          <w:tab w:val="left" w:pos="6620"/>
          <w:tab w:val="left" w:pos="7780"/>
        </w:tabs>
        <w:ind w:right="-7" w:firstLine="851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  <w:u w:val="single"/>
        </w:rPr>
        <w:t>VI</w:t>
      </w:r>
      <w:r w:rsidRPr="00A24730">
        <w:rPr>
          <w:rFonts w:ascii="Times New Roman" w:eastAsia="Times New Roman" w:hAnsi="Times New Roman"/>
          <w:sz w:val="28"/>
          <w:szCs w:val="28"/>
        </w:rPr>
        <w:tab/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уровень</w:t>
      </w:r>
      <w:r w:rsidRPr="00A24730">
        <w:rPr>
          <w:rFonts w:ascii="Times New Roman" w:eastAsia="Times New Roman" w:hAnsi="Times New Roman"/>
          <w:sz w:val="28"/>
          <w:szCs w:val="28"/>
        </w:rPr>
        <w:tab/>
      </w:r>
      <w:r w:rsidRPr="00A24730">
        <w:rPr>
          <w:rFonts w:ascii="Times New Roman" w:eastAsia="Times New Roman" w:hAnsi="Times New Roman"/>
          <w:sz w:val="28"/>
          <w:szCs w:val="28"/>
          <w:u w:val="single"/>
        </w:rPr>
        <w:t>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ab/>
        <w:t>-</w:t>
      </w:r>
      <w:r w:rsidRPr="00A24730">
        <w:rPr>
          <w:rFonts w:ascii="Times New Roman" w:eastAsia="Times New Roman" w:hAnsi="Times New Roman"/>
          <w:sz w:val="28"/>
          <w:szCs w:val="28"/>
        </w:rPr>
        <w:tab/>
        <w:t>граница</w:t>
      </w:r>
      <w:r w:rsidRPr="00A24730">
        <w:rPr>
          <w:rFonts w:ascii="Times New Roman" w:eastAsia="Times New Roman" w:hAnsi="Times New Roman"/>
          <w:sz w:val="28"/>
          <w:szCs w:val="28"/>
        </w:rPr>
        <w:tab/>
        <w:t>раздела</w:t>
      </w:r>
      <w:r w:rsidRPr="00A24730">
        <w:rPr>
          <w:rFonts w:ascii="Times New Roman" w:eastAsia="Times New Roman" w:hAnsi="Times New Roman"/>
          <w:sz w:val="28"/>
          <w:szCs w:val="28"/>
        </w:rPr>
        <w:tab/>
        <w:t>балансовой</w:t>
      </w:r>
      <w:r>
        <w:rPr>
          <w:rFonts w:ascii="Times New Roman" w:eastAsia="Times New Roman" w:hAnsi="Times New Roman"/>
          <w:sz w:val="28"/>
          <w:szCs w:val="28"/>
        </w:rPr>
        <w:t xml:space="preserve"> принадлежности сетей энергосистемы и промышленного предприятия. </w:t>
      </w:r>
    </w:p>
    <w:p w:rsidR="00E35B3D" w:rsidRDefault="00E35B3D" w:rsidP="00E35B3D">
      <w:pPr>
        <w:tabs>
          <w:tab w:val="left" w:pos="1420"/>
          <w:tab w:val="left" w:pos="2640"/>
          <w:tab w:val="left" w:pos="5000"/>
          <w:tab w:val="left" w:pos="5420"/>
          <w:tab w:val="left" w:pos="6620"/>
          <w:tab w:val="left" w:pos="7780"/>
        </w:tabs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Последовательность расчета максимальных электрических нагрузок по расчетной активной мощности. </w:t>
      </w:r>
    </w:p>
    <w:p w:rsidR="00E35B3D" w:rsidRDefault="00E35B3D" w:rsidP="00E35B3D">
      <w:pPr>
        <w:tabs>
          <w:tab w:val="left" w:pos="1420"/>
          <w:tab w:val="left" w:pos="2640"/>
          <w:tab w:val="left" w:pos="5000"/>
          <w:tab w:val="left" w:pos="5420"/>
          <w:tab w:val="left" w:pos="6620"/>
          <w:tab w:val="left" w:pos="7780"/>
        </w:tabs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Расчетная </w:t>
      </w:r>
      <w:r w:rsidRPr="005D4AA2">
        <w:rPr>
          <w:rFonts w:ascii="Times New Roman" w:eastAsia="Times New Roman" w:hAnsi="Times New Roman"/>
          <w:i/>
          <w:sz w:val="28"/>
          <w:szCs w:val="28"/>
        </w:rPr>
        <w:t xml:space="preserve">активная </w:t>
      </w:r>
      <w:r>
        <w:rPr>
          <w:rFonts w:ascii="Times New Roman" w:eastAsia="Times New Roman" w:hAnsi="Times New Roman"/>
          <w:sz w:val="28"/>
          <w:szCs w:val="28"/>
        </w:rPr>
        <w:t xml:space="preserve">и </w:t>
      </w:r>
      <w:r w:rsidRPr="005D4AA2">
        <w:rPr>
          <w:rFonts w:ascii="Times New Roman" w:eastAsia="Times New Roman" w:hAnsi="Times New Roman"/>
          <w:i/>
          <w:sz w:val="28"/>
          <w:szCs w:val="28"/>
        </w:rPr>
        <w:t>реактивная нагрузки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5D4AA2">
        <w:rPr>
          <w:rFonts w:ascii="Times New Roman" w:eastAsia="Times New Roman" w:hAnsi="Times New Roman"/>
          <w:i/>
          <w:sz w:val="28"/>
          <w:szCs w:val="28"/>
        </w:rPr>
        <w:t xml:space="preserve">линий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I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уровня </w:t>
      </w:r>
      <w:r w:rsidRPr="00A24730">
        <w:rPr>
          <w:rFonts w:ascii="Times New Roman" w:eastAsia="Times New Roman" w:hAnsi="Times New Roman"/>
          <w:sz w:val="28"/>
          <w:szCs w:val="28"/>
        </w:rPr>
        <w:t>электроснабжения равны фактически потребляемой мощности:</w:t>
      </w:r>
    </w:p>
    <w:p w:rsidR="00E35B3D" w:rsidRPr="00A24730" w:rsidRDefault="00E35B3D" w:rsidP="00E35B3D">
      <w:pPr>
        <w:tabs>
          <w:tab w:val="left" w:pos="1420"/>
          <w:tab w:val="left" w:pos="2640"/>
          <w:tab w:val="left" w:pos="5000"/>
          <w:tab w:val="left" w:pos="5420"/>
          <w:tab w:val="left" w:pos="6620"/>
          <w:tab w:val="left" w:pos="7780"/>
        </w:tabs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530985" cy="340360"/>
            <wp:effectExtent l="0" t="0" r="0" b="254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985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180465" cy="255270"/>
            <wp:effectExtent l="0" t="0" r="63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436245" cy="201930"/>
            <wp:effectExtent l="0" t="0" r="1905" b="762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30">
        <w:rPr>
          <w:rFonts w:ascii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среднесменный коэффициент мощности.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На II уровне электроснабжения расчетная нагрузка определяется по методу упорядоченных диаграмм.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Расчетная активная мощность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II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уровня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электроснабжения:</w:t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169670" cy="361315"/>
            <wp:effectExtent l="0" t="0" r="0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Значения коэффициента максимума находится в зависимости от значения группового коэффициента использования за наиболее загруженную смену и эффективного числа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 группе по специальным </w:t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>кривым, которые можно найти во многих справочниках по электроснабжению.</w:t>
      </w:r>
    </w:p>
    <w:p w:rsidR="00E35B3D" w:rsidRPr="00A24730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Зависимость коэффициента максимума Км от эффективного числа приёмников </w:t>
      </w:r>
      <w:proofErr w:type="spellStart"/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n</w:t>
      </w:r>
      <w:proofErr w:type="gramEnd"/>
      <w:r w:rsidRPr="00A24730">
        <w:rPr>
          <w:rFonts w:ascii="Times New Roman" w:eastAsia="Times New Roman" w:hAnsi="Times New Roman"/>
          <w:i/>
          <w:sz w:val="28"/>
          <w:szCs w:val="28"/>
          <w:vertAlign w:val="subscript"/>
        </w:rPr>
        <w:t>э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при различных коэффициентах использования Ки:</w:t>
      </w: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1150620</wp:posOffset>
            </wp:positionH>
            <wp:positionV relativeFrom="page">
              <wp:posOffset>4064000</wp:posOffset>
            </wp:positionV>
            <wp:extent cx="6001385" cy="2191385"/>
            <wp:effectExtent l="0" t="0" r="0" b="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2191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585A07" w:rsidRDefault="00E35B3D" w:rsidP="00E35B3D">
      <w:pPr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bookmarkStart w:id="1" w:name="page61"/>
      <w:bookmarkEnd w:id="1"/>
      <w:r w:rsidRPr="00A24730">
        <w:rPr>
          <w:rFonts w:ascii="Times New Roman" w:eastAsia="Times New Roman" w:hAnsi="Times New Roman"/>
          <w:sz w:val="28"/>
          <w:szCs w:val="28"/>
        </w:rPr>
        <w:t xml:space="preserve">Под </w:t>
      </w:r>
      <w:r w:rsidRPr="00A24730">
        <w:rPr>
          <w:rFonts w:ascii="Times New Roman" w:eastAsia="Times New Roman" w:hAnsi="Times New Roman"/>
          <w:b/>
          <w:i/>
          <w:sz w:val="28"/>
          <w:szCs w:val="28"/>
        </w:rPr>
        <w:t xml:space="preserve">эффективным числом </w:t>
      </w:r>
      <w:proofErr w:type="spellStart"/>
      <w:r w:rsidRPr="00A24730">
        <w:rPr>
          <w:rFonts w:ascii="Times New Roman" w:eastAsia="Times New Roman" w:hAnsi="Times New Roman"/>
          <w:b/>
          <w:i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понимается такое число однородных по режиму работы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одинаковой мощности, которое обусловливает то же значение расчетного максимума, что и группа различных по мощности и режиму работы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.</w:t>
      </w: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Эффективное число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достаточно точно определяется по формуле:</w:t>
      </w: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286510" cy="616585"/>
            <wp:effectExtent l="0" t="0" r="889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Эффективное число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всегда меньше реального числа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 группе. Агрегаты с многодвигательным приводом рассматриваются как один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.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Для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 длительном режиме работы практически с постоянным графиком нагрузки, коэффициент максимума принимают равным единице. К таким приемникам относят электродвигатели насосов, вентиляторов, компрессоров, шаровых мельниц и другие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. Расчетная мощность для этих групп определяется выражением:</w:t>
      </w:r>
    </w:p>
    <w:p w:rsidR="00E35B3D" w:rsidRPr="00A24730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956945" cy="436245"/>
            <wp:effectExtent l="0" t="0" r="0" b="190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4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При определении расчетных нагрузок на втором этапе, после выбора цеховых трансформаторов и компенсирующих устройств, следует уточнять коэффициент максимума по фактической постоянной времени. Для этого определяется коэффициент максимума для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постоянной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времени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180465" cy="233680"/>
            <wp:effectExtent l="0" t="0" r="63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30">
        <w:rPr>
          <w:rFonts w:ascii="Times New Roman" w:eastAsia="Times New Roman" w:hAnsi="Times New Roman"/>
          <w:sz w:val="28"/>
          <w:szCs w:val="28"/>
        </w:rPr>
        <w:t xml:space="preserve">определяется максимальная нагрузка и сечения проводников и кабелей по условию допустимого нагрева. После этого находят фактические значения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55270" cy="2127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и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5462270</wp:posOffset>
            </wp:positionH>
            <wp:positionV relativeFrom="paragraph">
              <wp:posOffset>-118745</wp:posOffset>
            </wp:positionV>
            <wp:extent cx="155575" cy="64135"/>
            <wp:effectExtent l="0" t="0" r="0" b="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64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page62"/>
      <w:bookmarkEnd w:id="2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при 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861060" cy="201930"/>
            <wp:effectExtent l="0" t="0" r="0" b="762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30">
        <w:rPr>
          <w:rFonts w:ascii="Times New Roman" w:eastAsia="Times New Roman" w:hAnsi="Times New Roman"/>
          <w:sz w:val="28"/>
          <w:szCs w:val="28"/>
        </w:rPr>
        <w:t xml:space="preserve">  пересчитывают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91135" cy="15938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на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55270" cy="223520"/>
            <wp:effectExtent l="0" t="0" r="0" b="508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ab/>
        <w:t>О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>пределяют уточненное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значение максимальной нагрузки и выбирают сечения.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Осредненные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постоянные нагрева приведены в справочниках.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Максимальная реактивная нагрузка </w:t>
      </w:r>
      <w:r w:rsidRPr="00A24730">
        <w:rPr>
          <w:rFonts w:ascii="Times New Roman" w:eastAsia="Times New Roman" w:hAnsi="Times New Roman"/>
          <w:sz w:val="28"/>
          <w:szCs w:val="28"/>
        </w:rPr>
        <w:t>определяется по выражению: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169670" cy="29781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80975" cy="170180"/>
            <wp:effectExtent l="0" t="0" r="9525" b="127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- коэффициент, в зависимости от числа эффективных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</w:t>
      </w:r>
      <w:r>
        <w:rPr>
          <w:rFonts w:ascii="Times New Roman" w:eastAsia="Times New Roman" w:hAnsi="Times New Roman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396875</wp:posOffset>
            </wp:positionH>
            <wp:positionV relativeFrom="paragraph">
              <wp:posOffset>-39370</wp:posOffset>
            </wp:positionV>
            <wp:extent cx="82550" cy="45720"/>
            <wp:effectExtent l="0" t="0" r="0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" cy="4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принимают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равным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201420" cy="23368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42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в противном случае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712470" cy="223520"/>
            <wp:effectExtent l="0" t="0" r="0" b="508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E35B3D" w:rsidRPr="00A24730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>Определение электрических нагрузок III уровня электроснабжения</w:t>
      </w:r>
      <w:r w:rsidRPr="00A24730">
        <w:rPr>
          <w:rFonts w:ascii="Times New Roman" w:eastAsia="Times New Roman" w:hAnsi="Times New Roman"/>
          <w:sz w:val="28"/>
          <w:szCs w:val="28"/>
        </w:rPr>
        <w:t>: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647825" cy="266065"/>
            <wp:effectExtent l="0" t="0" r="9525" b="63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349500" cy="340360"/>
            <wp:effectExtent l="0" t="0" r="0" b="254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где  </w:t>
      </w:r>
      <w:r>
        <w:rPr>
          <w:rFonts w:ascii="Times New Roman" w:eastAsia="Times New Roman" w:hAnsi="Times New Roman" w:cs="Times New Roman"/>
          <w:sz w:val="28"/>
          <w:szCs w:val="28"/>
        </w:rPr>
        <w:t>γ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- корректирующий коэффициент.</w:t>
      </w:r>
    </w:p>
    <w:p w:rsidR="00E35B3D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При проектировании предприятий и цехов предусматривают избыток оборудования и его мощностей по отношению к числу и мощности оборудования, необходимого для предусмотренного планового выпуска продукции.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По этому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на III уровне электроснабжения следует вво</w:t>
      </w:r>
      <w:r>
        <w:rPr>
          <w:rFonts w:ascii="Times New Roman" w:eastAsia="Times New Roman" w:hAnsi="Times New Roman"/>
          <w:sz w:val="28"/>
          <w:szCs w:val="28"/>
        </w:rPr>
        <w:t xml:space="preserve">дить дополнительный коэффициент </w:t>
      </w:r>
      <w:r>
        <w:rPr>
          <w:rFonts w:ascii="Times New Roman" w:eastAsia="Times New Roman" w:hAnsi="Times New Roman" w:cs="Times New Roman"/>
          <w:sz w:val="28"/>
          <w:szCs w:val="28"/>
        </w:rPr>
        <w:t>γ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 w:rsidRPr="00A24730">
        <w:rPr>
          <w:rFonts w:ascii="Times New Roman" w:eastAsia="Times New Roman" w:hAnsi="Times New Roman"/>
          <w:sz w:val="28"/>
          <w:szCs w:val="28"/>
        </w:rPr>
        <w:t>корректирующий расчетную нагрузку и определяемый выражением:</w:t>
      </w:r>
    </w:p>
    <w:p w:rsidR="00E35B3D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2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445895" cy="425450"/>
            <wp:effectExtent l="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361315" cy="212725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Pr="00A24730">
        <w:rPr>
          <w:rFonts w:ascii="Times New Roman" w:eastAsia="Times New Roman" w:hAnsi="Times New Roman"/>
          <w:sz w:val="28"/>
          <w:szCs w:val="28"/>
        </w:rPr>
        <w:t>коэффициент интенсивности использования основного оборудования, равен отношению расчетного числа единиц оборудования к числу единиц фактически принятых в проекте;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01930" cy="201930"/>
            <wp:effectExtent l="0" t="0" r="7620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коэффициент потерь номинального фонда времени, </w:t>
      </w:r>
      <w:r>
        <w:rPr>
          <w:rFonts w:ascii="Times New Roman" w:eastAsia="Times New Roman" w:hAnsi="Times New Roman"/>
          <w:sz w:val="28"/>
          <w:szCs w:val="28"/>
        </w:rPr>
        <w:t xml:space="preserve">обусловленных </w:t>
      </w:r>
      <w:r w:rsidRPr="00A24730">
        <w:rPr>
          <w:rFonts w:ascii="Times New Roman" w:eastAsia="Times New Roman" w:hAnsi="Times New Roman"/>
          <w:sz w:val="28"/>
          <w:szCs w:val="28"/>
        </w:rPr>
        <w:t>простоями оборудования при планово-предупредительных ремонтах;</w:t>
      </w:r>
    </w:p>
    <w:p w:rsidR="00E35B3D" w:rsidRPr="000B5FEA" w:rsidRDefault="00E35B3D" w:rsidP="00E35B3D">
      <w:pPr>
        <w:numPr>
          <w:ilvl w:val="0"/>
          <w:numId w:val="1"/>
        </w:num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- коэффициент неравномерности потребления и производства.</w:t>
      </w:r>
    </w:p>
    <w:p w:rsidR="00E35B3D" w:rsidRPr="00A24730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Исходные </w:t>
      </w:r>
      <w:r w:rsidRPr="00A24730">
        <w:rPr>
          <w:rFonts w:ascii="Times New Roman" w:eastAsia="Times New Roman" w:hAnsi="Times New Roman"/>
          <w:sz w:val="28"/>
          <w:szCs w:val="28"/>
        </w:rPr>
        <w:t>данные для определения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γ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получают из норм технологического проектирования соответствующих производств, для различных отраслей промышленности.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На IV электроснабжения максимальные нагрузки </w:t>
      </w:r>
      <w:r w:rsidRPr="00A24730">
        <w:rPr>
          <w:rFonts w:ascii="Times New Roman" w:eastAsia="Times New Roman" w:hAnsi="Times New Roman"/>
          <w:sz w:val="28"/>
          <w:szCs w:val="28"/>
        </w:rPr>
        <w:t>определяют в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соответствии с выражением: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  <w:sectPr w:rsidR="00E35B3D" w:rsidRPr="00A24730" w:rsidSect="00777ACB">
          <w:pgSz w:w="11900" w:h="16840"/>
          <w:pgMar w:top="1134" w:right="843" w:bottom="1134" w:left="1701" w:header="0" w:footer="0" w:gutter="0"/>
          <w:cols w:space="0" w:equalWidth="0">
            <w:col w:w="9356"/>
          </w:cols>
          <w:docGrid w:linePitch="360"/>
        </w:sectPr>
      </w:pPr>
    </w:p>
    <w:p w:rsidR="00E35B3D" w:rsidRPr="00A24730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2402840" cy="297815"/>
            <wp:effectExtent l="0" t="0" r="0" b="698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40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sz w:val="28"/>
          <w:szCs w:val="28"/>
        </w:rPr>
        <w:sectPr w:rsidR="00E35B3D" w:rsidRPr="00A24730" w:rsidSect="00777ACB">
          <w:type w:val="continuous"/>
          <w:pgSz w:w="11900" w:h="16840"/>
          <w:pgMar w:top="1134" w:right="843" w:bottom="1134" w:left="1701" w:header="0" w:footer="0" w:gutter="0"/>
          <w:cols w:space="0" w:equalWidth="0">
            <w:col w:w="9356"/>
          </w:cols>
          <w:docGrid w:linePitch="360"/>
        </w:sect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sz w:val="28"/>
          <w:szCs w:val="28"/>
        </w:rPr>
      </w:pPr>
      <w:bookmarkStart w:id="3" w:name="page63"/>
      <w:bookmarkEnd w:id="3"/>
      <w:r>
        <w:rPr>
          <w:rFonts w:ascii="Times New Roman" w:eastAsia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3211195" cy="351155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35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где n - число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непосредственно подключенных к этому уровню электроснабжения (без учета потребителей с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резкопеременной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нагрузкой);</w:t>
      </w:r>
    </w:p>
    <w:p w:rsidR="00E35B3D" w:rsidRPr="00A24730" w:rsidRDefault="00E35B3D" w:rsidP="00E35B3D">
      <w:pPr>
        <w:ind w:right="-7" w:firstLine="52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m - число цеховых трансформаторных подстанций, электроснабжение которых осуществляется от данного уровня.</w:t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Для потребителей с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резкопеременной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нагрузкой определение нагрузок производится на основе исследования графиков нагрузок.</w:t>
      </w:r>
    </w:p>
    <w:p w:rsidR="00E35B3D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На V уровне электроснабжения расчетные активные и реактивные нагрузки </w:t>
      </w:r>
      <w:r w:rsidRPr="00A24730">
        <w:rPr>
          <w:rFonts w:ascii="Times New Roman" w:eastAsia="Times New Roman" w:hAnsi="Times New Roman"/>
          <w:sz w:val="28"/>
          <w:szCs w:val="28"/>
        </w:rPr>
        <w:t>определяются по выражениям:</w:t>
      </w:r>
    </w:p>
    <w:p w:rsidR="00E35B3D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2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753995" cy="266065"/>
            <wp:effectExtent l="0" t="0" r="8255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2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339850" cy="2762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340360" cy="255270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A24730">
        <w:rPr>
          <w:rFonts w:ascii="Times New Roman" w:eastAsia="Times New Roman" w:hAnsi="Times New Roman"/>
          <w:sz w:val="28"/>
          <w:szCs w:val="28"/>
        </w:rPr>
        <w:t>коэффициент разновременности максимума нагрузки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55270" cy="2336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A24730">
        <w:rPr>
          <w:rFonts w:ascii="Times New Roman" w:eastAsia="Times New Roman" w:hAnsi="Times New Roman"/>
          <w:sz w:val="28"/>
          <w:szCs w:val="28"/>
        </w:rPr>
        <w:t>реактивная мощность,  потребляемая из энергосистемы в ча</w:t>
      </w:r>
      <w:r>
        <w:rPr>
          <w:rFonts w:ascii="Times New Roman" w:eastAsia="Times New Roman" w:hAnsi="Times New Roman"/>
          <w:sz w:val="28"/>
          <w:szCs w:val="28"/>
        </w:rPr>
        <w:t xml:space="preserve">сы </w:t>
      </w:r>
      <w:r w:rsidRPr="00A24730">
        <w:rPr>
          <w:rFonts w:ascii="Times New Roman" w:eastAsia="Times New Roman" w:hAnsi="Times New Roman"/>
          <w:sz w:val="28"/>
          <w:szCs w:val="28"/>
        </w:rPr>
        <w:t>максимума нагрузки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372110" cy="212725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Pr="00A24730">
        <w:rPr>
          <w:rFonts w:ascii="Times New Roman" w:eastAsia="Times New Roman" w:hAnsi="Times New Roman"/>
          <w:sz w:val="28"/>
          <w:szCs w:val="28"/>
        </w:rPr>
        <w:t>потери реактивной мощности в трансформаторах</w:t>
      </w:r>
      <w:r>
        <w:rPr>
          <w:rFonts w:ascii="Times New Roman" w:eastAsia="Times New Roman" w:hAnsi="Times New Roman"/>
          <w:sz w:val="28"/>
          <w:szCs w:val="28"/>
        </w:rPr>
        <w:t>.</w:t>
      </w:r>
      <w:r w:rsidRPr="000B5FEA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35B3D" w:rsidRDefault="00E35B3D" w:rsidP="00E35B3D">
      <w:pPr>
        <w:ind w:right="-7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Исходя из раздельной работы трансформаторов на предприятии</w:t>
      </w:r>
      <w:r w:rsidRPr="000B5FEA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потери</w:t>
      </w:r>
      <w:r w:rsidRPr="000B5FEA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реактивной мощности при двух трансформаторной подстанции:</w:t>
      </w:r>
    </w:p>
    <w:p w:rsidR="00E35B3D" w:rsidRDefault="00E35B3D" w:rsidP="00E35B3D">
      <w:pPr>
        <w:ind w:right="-7"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56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306955" cy="40386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55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020445" cy="244475"/>
            <wp:effectExtent l="0" t="0" r="825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Pr="00A24730">
        <w:rPr>
          <w:rFonts w:ascii="Times New Roman" w:eastAsia="Times New Roman" w:hAnsi="Times New Roman"/>
          <w:sz w:val="28"/>
          <w:szCs w:val="28"/>
        </w:rPr>
        <w:t>номинальная мощность, ток холостого хода в</w:t>
      </w:r>
      <w:r w:rsidRPr="000B5FEA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процентах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0B5FEA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напряжение короткого замыкания в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процентах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планируемых к установке трансформаторов</w:t>
      </w:r>
    </w:p>
    <w:p w:rsidR="00E35B3D" w:rsidRPr="00A24730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На VI уровне электроснабжения нагрузка </w:t>
      </w:r>
      <w:r w:rsidRPr="00A24730">
        <w:rPr>
          <w:rFonts w:ascii="Times New Roman" w:eastAsia="Times New Roman" w:hAnsi="Times New Roman"/>
          <w:sz w:val="28"/>
          <w:szCs w:val="28"/>
        </w:rPr>
        <w:t>выражается как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E35B3D" w:rsidRDefault="00E35B3D" w:rsidP="00E35B3D">
      <w:pPr>
        <w:ind w:right="-7"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56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1212215" cy="244475"/>
            <wp:effectExtent l="0" t="0" r="698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Default="00E35B3D" w:rsidP="00E35B3D">
      <w:pPr>
        <w:ind w:right="-7" w:firstLine="567"/>
        <w:jc w:val="center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56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755015" cy="244475"/>
            <wp:effectExtent l="0" t="0" r="698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268605</wp:posOffset>
            </wp:positionH>
            <wp:positionV relativeFrom="paragraph">
              <wp:posOffset>-2468245</wp:posOffset>
            </wp:positionV>
            <wp:extent cx="118745" cy="45720"/>
            <wp:effectExtent l="0" t="0" r="0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4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278130</wp:posOffset>
            </wp:positionH>
            <wp:positionV relativeFrom="paragraph">
              <wp:posOffset>-2413635</wp:posOffset>
            </wp:positionV>
            <wp:extent cx="64135" cy="8890"/>
            <wp:effectExtent l="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8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250190</wp:posOffset>
            </wp:positionH>
            <wp:positionV relativeFrom="paragraph">
              <wp:posOffset>-2129790</wp:posOffset>
            </wp:positionV>
            <wp:extent cx="182880" cy="155575"/>
            <wp:effectExtent l="0" t="0" r="762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4" w:name="page64"/>
      <w:bookmarkEnd w:id="4"/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 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76225" cy="266065"/>
            <wp:effectExtent l="0" t="0" r="952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-  </w:t>
      </w:r>
      <w:r w:rsidRPr="00A24730">
        <w:rPr>
          <w:rFonts w:ascii="Times New Roman" w:eastAsia="Times New Roman" w:hAnsi="Times New Roman"/>
          <w:sz w:val="28"/>
          <w:szCs w:val="28"/>
        </w:rPr>
        <w:t>потери мощности в трансформаторах.</w:t>
      </w:r>
    </w:p>
    <w:p w:rsidR="00E35B3D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Для двух раздельно работающих трансформаторов потери мощности:</w:t>
      </w:r>
    </w:p>
    <w:p w:rsidR="00E35B3D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left="860" w:right="-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2349500" cy="4781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B3D" w:rsidRPr="00A24730" w:rsidRDefault="00E35B3D" w:rsidP="00E35B3D">
      <w:pPr>
        <w:ind w:left="860"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lastRenderedPageBreak/>
        <w:t xml:space="preserve">где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>
            <wp:extent cx="605790" cy="20193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- потери холостого хода и короткого замыкания соответственно.</w:t>
      </w: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Деление системы электроснабжения по напряжению до 1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и выше традиционно. Теоретически и практически следует различать следующие уровни (ступени) системы электроснабжения:</w:t>
      </w: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-53975</wp:posOffset>
            </wp:positionH>
            <wp:positionV relativeFrom="paragraph">
              <wp:posOffset>50165</wp:posOffset>
            </wp:positionV>
            <wp:extent cx="4762500" cy="4953000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95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bookmarkStart w:id="5" w:name="_GoBack"/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8480" behindDoc="1" locked="0" layoutInCell="0" allowOverlap="1" wp14:anchorId="10D313D7" wp14:editId="0CACE34B">
            <wp:simplePos x="0" y="0"/>
            <wp:positionH relativeFrom="page">
              <wp:posOffset>2381250</wp:posOffset>
            </wp:positionH>
            <wp:positionV relativeFrom="page">
              <wp:posOffset>8630285</wp:posOffset>
            </wp:positionV>
            <wp:extent cx="3285490" cy="1761490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176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5"/>
    </w:p>
    <w:p w:rsidR="00E35B3D" w:rsidRPr="00A24730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  <w:sectPr w:rsidR="00E35B3D" w:rsidRPr="00A24730" w:rsidSect="00777ACB">
          <w:pgSz w:w="11900" w:h="16840"/>
          <w:pgMar w:top="1134" w:right="843" w:bottom="1134" w:left="1701" w:header="0" w:footer="0" w:gutter="0"/>
          <w:cols w:space="0" w:equalWidth="0">
            <w:col w:w="9356"/>
          </w:cols>
          <w:docGrid w:linePitch="360"/>
        </w:sect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  <w:bookmarkStart w:id="6" w:name="page65"/>
      <w:bookmarkEnd w:id="6"/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Отдельный </w:t>
      </w:r>
      <w:proofErr w:type="spellStart"/>
      <w:r w:rsidRPr="00A24730">
        <w:rPr>
          <w:rFonts w:ascii="Times New Roman" w:eastAsia="Times New Roman" w:hAnsi="Times New Roman"/>
          <w:b/>
          <w:sz w:val="28"/>
          <w:szCs w:val="28"/>
        </w:rPr>
        <w:t>электроприемник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E35B3D" w:rsidRDefault="00E35B3D" w:rsidP="00E35B3D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9504" behindDoc="1" locked="0" layoutInCell="0" allowOverlap="1" wp14:anchorId="03DB7367" wp14:editId="14E6E387">
            <wp:simplePos x="0" y="0"/>
            <wp:positionH relativeFrom="page">
              <wp:posOffset>2924810</wp:posOffset>
            </wp:positionH>
            <wp:positionV relativeFrom="page">
              <wp:posOffset>7625715</wp:posOffset>
            </wp:positionV>
            <wp:extent cx="1821180" cy="1859280"/>
            <wp:effectExtent l="0" t="0" r="7620" b="762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Агрегат (станок) с многодвигательным приводом или другой группой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, связанных технологически или территориально и образующих единое изделие с определенной (документально обозначенной заводом-изго</w:t>
      </w:r>
      <w:r>
        <w:rPr>
          <w:rFonts w:ascii="Times New Roman" w:eastAsia="Times New Roman" w:hAnsi="Times New Roman"/>
          <w:sz w:val="28"/>
          <w:szCs w:val="28"/>
        </w:rPr>
        <w:t xml:space="preserve">товителем) паспортной мощностью </w:t>
      </w:r>
      <w:r w:rsidRPr="00A24730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первый уровень</w:t>
      </w:r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питающийся по одной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линии,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1УР.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6432" behindDoc="1" locked="0" layoutInCell="0" allowOverlap="1" wp14:anchorId="78B372DA" wp14:editId="174A19F9">
            <wp:simplePos x="0" y="0"/>
            <wp:positionH relativeFrom="column">
              <wp:posOffset>777875</wp:posOffset>
            </wp:positionH>
            <wp:positionV relativeFrom="paragraph">
              <wp:posOffset>254635</wp:posOffset>
            </wp:positionV>
            <wp:extent cx="4201795" cy="2922905"/>
            <wp:effectExtent l="0" t="0" r="8255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795" cy="2922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Щиты распределительные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напряжением до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1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переменного тока и до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1,5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постоянного тока, щиты управления, шкафы силовые, вводно-распределительные, шинные выводы, сборки, магистрали -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второй уровень,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2УР</w:t>
      </w:r>
      <w:r w:rsidRPr="00A24730">
        <w:rPr>
          <w:rFonts w:ascii="Times New Roman" w:eastAsia="Times New Roman" w:hAnsi="Times New Roman"/>
          <w:sz w:val="28"/>
          <w:szCs w:val="28"/>
        </w:rPr>
        <w:t>;</w:t>
      </w:r>
    </w:p>
    <w:p w:rsidR="00E35B3D" w:rsidRPr="00A24730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Щ</w:t>
      </w:r>
      <w:r w:rsidRPr="00A24730">
        <w:rPr>
          <w:rFonts w:ascii="Times New Roman" w:eastAsia="Times New Roman" w:hAnsi="Times New Roman"/>
          <w:b/>
          <w:sz w:val="28"/>
          <w:szCs w:val="28"/>
        </w:rPr>
        <w:t>ит низкого напряжения трансф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орматорной подстанции  10(6)/0,4 </w:t>
      </w:r>
      <w:proofErr w:type="spellStart"/>
      <w:r w:rsidRPr="00A24730">
        <w:rPr>
          <w:rFonts w:ascii="Times New Roman" w:eastAsia="Times New Roman" w:hAnsi="Times New Roman"/>
          <w:b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или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сам трансформатор (при рассмотрении следующего уровня - загрузка трансформатора с учетом потерь в нем) -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третий уровень, 3УР</w:t>
      </w:r>
      <w:r w:rsidRPr="00A24730">
        <w:rPr>
          <w:rFonts w:ascii="Times New Roman" w:eastAsia="Times New Roman" w:hAnsi="Times New Roman"/>
          <w:sz w:val="28"/>
          <w:szCs w:val="28"/>
        </w:rPr>
        <w:t>;</w:t>
      </w:r>
    </w:p>
    <w:p w:rsidR="00E35B3D" w:rsidRPr="00A24730" w:rsidRDefault="00E35B3D" w:rsidP="00E35B3D">
      <w:pPr>
        <w:tabs>
          <w:tab w:val="left" w:pos="2568"/>
        </w:tabs>
        <w:ind w:firstLine="851"/>
        <w:rPr>
          <w:rFonts w:ascii="Times New Roman" w:eastAsia="Times New Roman" w:hAnsi="Times New Roman"/>
          <w:sz w:val="28"/>
          <w:szCs w:val="28"/>
        </w:rPr>
      </w:pPr>
      <w:bookmarkStart w:id="7" w:name="page66"/>
      <w:bookmarkEnd w:id="7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Шины распределительные подстанции РП 10(6)  </w:t>
      </w:r>
      <w:proofErr w:type="spellStart"/>
      <w:r w:rsidRPr="00A24730">
        <w:rPr>
          <w:rFonts w:ascii="Times New Roman" w:eastAsia="Times New Roman" w:hAnsi="Times New Roman"/>
          <w:b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(при рассмотрении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следующего уровня - загрузка РП в целом) -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четвертый уровень, 4УР</w:t>
      </w:r>
      <w:r w:rsidRPr="00A24730">
        <w:rPr>
          <w:rFonts w:ascii="Times New Roman" w:eastAsia="Times New Roman" w:hAnsi="Times New Roman"/>
          <w:sz w:val="28"/>
          <w:szCs w:val="28"/>
        </w:rPr>
        <w:t>;</w:t>
      </w: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Шины главной понизительной подстанции</w:t>
      </w:r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подстанции глубокого ввода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-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пятый уровень, 5УР</w:t>
      </w:r>
      <w:r w:rsidRPr="00A24730">
        <w:rPr>
          <w:rFonts w:ascii="Times New Roman" w:eastAsia="Times New Roman" w:hAnsi="Times New Roman"/>
          <w:sz w:val="28"/>
          <w:szCs w:val="28"/>
        </w:rPr>
        <w:t>;</w:t>
      </w: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248920</wp:posOffset>
            </wp:positionH>
            <wp:positionV relativeFrom="paragraph">
              <wp:posOffset>191770</wp:posOffset>
            </wp:positionV>
            <wp:extent cx="5259070" cy="3285490"/>
            <wp:effectExtent l="0" t="0" r="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070" cy="328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Граница раздела предприятия и энергосистемы </w:t>
      </w:r>
      <w:r w:rsidRPr="00A24730">
        <w:rPr>
          <w:rFonts w:ascii="Times New Roman" w:eastAsia="Times New Roman" w:hAnsi="Times New Roman"/>
          <w:sz w:val="28"/>
          <w:szCs w:val="28"/>
        </w:rPr>
        <w:t>-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шестой уровень, 6УР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[заявляемый (договорной), лимитируемый, контролируемый и отчетный уровень].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bookmarkStart w:id="8" w:name="page67"/>
      <w:bookmarkEnd w:id="8"/>
      <w:r w:rsidRPr="00A24730">
        <w:rPr>
          <w:rFonts w:ascii="Times New Roman" w:eastAsia="Times New Roman" w:hAnsi="Times New Roman"/>
          <w:sz w:val="28"/>
          <w:szCs w:val="28"/>
        </w:rPr>
        <w:t xml:space="preserve">С системой внешнего электроснабжения 6УР связан линиями электропередачи, которые присоединены к источникам питания энергосистемы: районным и узловым подстанциям энергосистемы; ГРУ и РУ ТЭЦ, ГРЭС, ТЭС, ГЭС, АЭС; ГПП энергосистем, находящимся на территории предприятия. Сейчас эти внешние источники питания имеют номинальное напряжение от 6 до 750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кВ.</w:t>
      </w:r>
      <w:proofErr w:type="spellEnd"/>
    </w:p>
    <w:p w:rsidR="00E35B3D" w:rsidRPr="00A24730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Распределительные подстанции 4УР получают электроэнергию от ГПП или ТЭЦ на напряжении 10(6)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и предназначены для приема и распределения между цеховыми ТП и отдельными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электроприемниками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высокого напряжения (электродвигатели, преобразователи, электропечи).</w:t>
      </w:r>
    </w:p>
    <w:p w:rsidR="00E35B3D" w:rsidRPr="00A24730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 xml:space="preserve">5УР и 4УР относят к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внецеховому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электроснабжению, сети называют межцеховыми (магистральными), а напряжение - распределительным.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От 5УР осуществляется электроснабжение крупного цеха или района (район конвертерного цеха, район ремонтных цехов и др.), от 4УР питаются цеха, отдельные здания и сооружения.</w:t>
      </w:r>
    </w:p>
    <w:p w:rsidR="00E35B3D" w:rsidRPr="00A24730" w:rsidRDefault="00E35B3D" w:rsidP="00E35B3D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Цеховые ТП предназначены для преобразования электроэнергии напряжением 10(6)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 напряжение 220/380, 660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 xml:space="preserve"> В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и питания на этом напряжении цеховых электрических сетей. К цеховым электрическим сетям 220/380 и 660В присоединено большинство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промышленных предприятий.</w:t>
      </w: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E35B3D" w:rsidRPr="00A24730" w:rsidRDefault="00E35B3D" w:rsidP="00E35B3D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762F32" w:rsidRDefault="00E35B3D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3.45pt;height:22.6pt" o:bullet="t">
        <v:imagedata r:id="rId1" o:title=""/>
      </v:shape>
    </w:pict>
  </w:numPicBullet>
  <w:abstractNum w:abstractNumId="0">
    <w:nsid w:val="5F935125"/>
    <w:multiLevelType w:val="hybridMultilevel"/>
    <w:tmpl w:val="59A22F3A"/>
    <w:lvl w:ilvl="0" w:tplc="217287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2AAD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6EDF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B6B0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645D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0E10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902DE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F642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48A2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B3D"/>
    <w:rsid w:val="00097047"/>
    <w:rsid w:val="007D5BD1"/>
    <w:rsid w:val="00BA5F3C"/>
    <w:rsid w:val="00D07EAE"/>
    <w:rsid w:val="00E3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3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B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B3D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3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B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B3D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9" Type="http://schemas.openxmlformats.org/officeDocument/2006/relationships/image" Target="media/image35.emf"/><Relationship Id="rId3" Type="http://schemas.microsoft.com/office/2007/relationships/stylesWithEffects" Target="stylesWithEffects.xml"/><Relationship Id="rId21" Type="http://schemas.openxmlformats.org/officeDocument/2006/relationships/image" Target="media/image17.jpeg"/><Relationship Id="rId34" Type="http://schemas.openxmlformats.org/officeDocument/2006/relationships/image" Target="media/image30.emf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46" Type="http://schemas.openxmlformats.org/officeDocument/2006/relationships/image" Target="media/image42.jpe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40" Type="http://schemas.openxmlformats.org/officeDocument/2006/relationships/image" Target="media/image36.jpeg"/><Relationship Id="rId45" Type="http://schemas.openxmlformats.org/officeDocument/2006/relationships/image" Target="media/image41.emf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49" Type="http://schemas.openxmlformats.org/officeDocument/2006/relationships/image" Target="media/image45.jpeg"/><Relationship Id="rId10" Type="http://schemas.openxmlformats.org/officeDocument/2006/relationships/image" Target="media/image6.jpeg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4" Type="http://schemas.openxmlformats.org/officeDocument/2006/relationships/image" Target="media/image40.emf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Relationship Id="rId43" Type="http://schemas.openxmlformats.org/officeDocument/2006/relationships/image" Target="media/image39.emf"/><Relationship Id="rId48" Type="http://schemas.openxmlformats.org/officeDocument/2006/relationships/image" Target="media/image44.jpeg"/><Relationship Id="rId8" Type="http://schemas.openxmlformats.org/officeDocument/2006/relationships/image" Target="media/image4.emf"/><Relationship Id="rId51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1225</Words>
  <Characters>6987</Characters>
  <Application>Microsoft Office Word</Application>
  <DocSecurity>0</DocSecurity>
  <Lines>58</Lines>
  <Paragraphs>16</Paragraphs>
  <ScaleCrop>false</ScaleCrop>
  <Company/>
  <LinksUpToDate>false</LinksUpToDate>
  <CharactersWithSpaces>8196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2020-01-28T08:46:00Z</dcterms:created>
  <dcterms:modified xsi:type="dcterms:W3CDTF">2020-01-28T08:46:00Z</dcterms:modified>
</cp:coreProperties>
</file>