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EDB" w:rsidRDefault="00D34EDB" w:rsidP="00D34EDB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>8 лекция. Выбор элементов систем автоматики</w:t>
      </w:r>
    </w:p>
    <w:p w:rsidR="00D34EDB" w:rsidRDefault="00D34EDB" w:rsidP="00D34EDB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> </w:t>
      </w:r>
      <w:bookmarkStart w:id="0" w:name="_GoBack"/>
      <w:bookmarkEnd w:id="0"/>
    </w:p>
    <w:p w:rsidR="00D34EDB" w:rsidRDefault="00D34EDB" w:rsidP="00D34EDB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 xml:space="preserve">Содержание лекции: </w:t>
      </w:r>
      <w:r>
        <w:rPr>
          <w:color w:val="000666"/>
        </w:rPr>
        <w:t>выбор промышленных приборов и средств автоматизации.</w:t>
      </w:r>
    </w:p>
    <w:p w:rsidR="00D34EDB" w:rsidRDefault="00D34EDB" w:rsidP="00D34EDB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 xml:space="preserve">Цель лекции: </w:t>
      </w:r>
      <w:r>
        <w:rPr>
          <w:color w:val="000666"/>
        </w:rPr>
        <w:t>изучить определения  и понятия выбора элементов систем автоматики.</w:t>
      </w:r>
    </w:p>
    <w:p w:rsidR="00D34EDB" w:rsidRDefault="00D34EDB" w:rsidP="00D34EDB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> 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3"/>
      </w:tblGrid>
      <w:tr w:rsidR="00D34EDB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На основе анализа технологической схемы и существующих приборов и средств автоматизации, применяемых в заданном технологическом процессе, формулируются основные требования к приборам и средствам автоматизации, которые можно подразделить </w:t>
            </w:r>
            <w:proofErr w:type="gramStart"/>
            <w:r>
              <w:rPr>
                <w:color w:val="000666"/>
              </w:rPr>
              <w:t>на</w:t>
            </w:r>
            <w:proofErr w:type="gramEnd"/>
            <w:r>
              <w:rPr>
                <w:color w:val="000666"/>
              </w:rPr>
              <w:t xml:space="preserve"> следующие основные: 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а) функциональные требования, включая технические характеристики;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б) требования, выдвигаемые физическими условиями работы (</w:t>
            </w:r>
            <w:proofErr w:type="spellStart"/>
            <w:proofErr w:type="gramStart"/>
            <w:r>
              <w:rPr>
                <w:color w:val="000666"/>
              </w:rPr>
              <w:t>искро</w:t>
            </w:r>
            <w:proofErr w:type="spellEnd"/>
            <w:r>
              <w:rPr>
                <w:color w:val="000666"/>
              </w:rPr>
              <w:t>- и</w:t>
            </w:r>
            <w:proofErr w:type="gramEnd"/>
            <w:r>
              <w:rPr>
                <w:color w:val="000666"/>
              </w:rPr>
              <w:t xml:space="preserve"> взрывобезопасность, </w:t>
            </w:r>
            <w:proofErr w:type="spellStart"/>
            <w:r>
              <w:rPr>
                <w:color w:val="000666"/>
              </w:rPr>
              <w:t>вибростойкость</w:t>
            </w:r>
            <w:proofErr w:type="spellEnd"/>
            <w:r>
              <w:rPr>
                <w:color w:val="000666"/>
              </w:rPr>
              <w:t xml:space="preserve">, </w:t>
            </w:r>
            <w:proofErr w:type="spellStart"/>
            <w:r>
              <w:rPr>
                <w:color w:val="000666"/>
              </w:rPr>
              <w:t>влагонепроницаемость</w:t>
            </w:r>
            <w:proofErr w:type="spellEnd"/>
            <w:r>
              <w:rPr>
                <w:color w:val="000666"/>
              </w:rPr>
              <w:t>, защищенность от агрессивной среды и т.п.);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в) требования по надёжности и ремонтопригодности;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г) весовые и габаритные требования на всю систему автоматизации в целом и на отдельные её элементы (приборы и средства автоматизации);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д) требования инженерной психологии, связанные с недопустимостью ошибок при эксплуатации системы автоматизации человеком, организация рабочего места оператора и т. п.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Следует иметь в виду, что условия окружающей среды в местах установки средств автоматизации определяют возможность их применения, особенность работы службы эксплуатации, а в отдельных случаях и работоспособность агрегатов, линий и производств.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Условия </w:t>
            </w:r>
            <w:proofErr w:type="spellStart"/>
            <w:r>
              <w:rPr>
                <w:color w:val="000666"/>
              </w:rPr>
              <w:t>пожароопастности</w:t>
            </w:r>
            <w:proofErr w:type="spellEnd"/>
            <w:r>
              <w:rPr>
                <w:color w:val="000666"/>
              </w:rPr>
              <w:t xml:space="preserve">, взрывоопасности объекта и агрессивности окружающей среды, а также требования к быстродействию, дальности передачи сигналов информации и управления являются определяющими при выборе средств автоматизации по виду энергии носителя сигналов (электрической, пневматической, гидравлической и др.) в канале связи. Так, для </w:t>
            </w:r>
            <w:proofErr w:type="spellStart"/>
            <w:r>
              <w:rPr>
                <w:color w:val="000666"/>
              </w:rPr>
              <w:t>пожар</w:t>
            </w:r>
            <w:proofErr w:type="gramStart"/>
            <w:r>
              <w:rPr>
                <w:color w:val="000666"/>
              </w:rPr>
              <w:t>о</w:t>
            </w:r>
            <w:proofErr w:type="spellEnd"/>
            <w:r>
              <w:rPr>
                <w:color w:val="000666"/>
              </w:rPr>
              <w:t>-</w:t>
            </w:r>
            <w:proofErr w:type="gramEnd"/>
            <w:r>
              <w:rPr>
                <w:color w:val="000666"/>
              </w:rPr>
              <w:t xml:space="preserve"> и взрывоопасных технологических процессов (установок) в большинстве случаев применяют пневматические средств автоматизации; при высоких требованиях к быстродействию и значительных расстояниях между источниками и приемниками сигналов информации применяют, как правило, электрические и комбинированные средств автоматизации. 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Также необходимо ориентироваться на использование серийно выпускаемых средств; при этом следует учитывать, что средства автоматизации общепромышленного применения предназначены для усреднённых промышленных условий эксплуатации и не все они могут удовлетворять работе отдельных предприятий.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Следует стремиться к применению однотипных приборов и ТСА, предпочтительно унифицированных комплексов, характеризующихся простотой сочетания, взаимозаменяемостью и удобством компоновки на щитах автоматики. Использование однотипных (унифицированных) средств даёт значительные эксплуатационные преимущества как с точки зрения их настройки, так и при техническом обслуживании и ремонте.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В проектируемые системы автоматизации необходимо закладывать средства автоматизации с тем классом точности, который определяется действительными требованиями объекта автоматизации. Как известно, чем выше класс средства измерения, тем более сложной является конструкция прибора, тем выше его стоимость, сложнее эксплуатация.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Количество приборов и средств автоматизации на оперативных щитах и пультах должно быть </w:t>
            </w:r>
            <w:r>
              <w:rPr>
                <w:color w:val="000666"/>
              </w:rPr>
              <w:lastRenderedPageBreak/>
              <w:t xml:space="preserve">ограниченным. Излишек аппаратуры является не менее вредным,  чем её  недостаток: усложняет эксплуатацию,  отвлекает  внимание </w:t>
            </w:r>
          </w:p>
        </w:tc>
      </w:tr>
    </w:tbl>
    <w:p w:rsidR="00D34EDB" w:rsidRDefault="00D34EDB" w:rsidP="00D34EDB">
      <w:pPr>
        <w:pStyle w:val="a3"/>
        <w:jc w:val="both"/>
        <w:rPr>
          <w:color w:val="000666"/>
        </w:rPr>
      </w:pPr>
      <w:r>
        <w:rPr>
          <w:color w:val="000666"/>
        </w:rPr>
        <w:lastRenderedPageBreak/>
        <w:t> </w:t>
      </w:r>
    </w:p>
    <w:tbl>
      <w:tblPr>
        <w:tblW w:w="0" w:type="auto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3"/>
      </w:tblGrid>
      <w:tr w:rsidR="00D34EDB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обслуживающего персонала от наблюдений за основными приборами, определяющими ход технологического процесса, удлиняет сроки монтажных работ, увеличивает стоимость автоматизируемого объекта.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Выбору промышленных приборов и средств автоматизации предшествует определение необходимого состава и составление функциональной схемы автоматизации технологического процесса (объекта), исходя из принятого принципа регулирования (управления), функциональных задач, которые должна выполнять система, и конструктивных особенностей серийных приборов. 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При составлении функциональной схемы автоматизации приборы, средства автоматизации, электрические устройства и элементы вычислительной техники необходимо показывать в соответствии с ГОСТ 21.404-85 и отраслевыми нормативными документами.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При определении состава функциональной схемы необходимо руководствоваться следующим порядком действий: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а) определяются возможные варианты использования сигнала датчика. Информация от датчика (чувствительного элемента) может использоваться несколькими системами контроля и регулирования. В современных системах сигнал датчика часто вводится непосредственно в управляющую вычислительную машину. Это вызывает необходимость выбирать датчики с несколькими выходными преобразователями и комплектовать их первичными приборами с </w:t>
            </w:r>
            <w:proofErr w:type="spellStart"/>
            <w:r>
              <w:rPr>
                <w:color w:val="000666"/>
              </w:rPr>
              <w:t>высокоомным</w:t>
            </w:r>
            <w:proofErr w:type="spellEnd"/>
            <w:r>
              <w:rPr>
                <w:color w:val="000666"/>
              </w:rPr>
              <w:t xml:space="preserve"> усилителем;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б) анализируется возможность использования в системе автоматизации единого сигнала связи (например, сигнала постоянного тока 4…20 мА). Если современные технические средства контроля и регулирования не дают возможности использовать единый сигнал связи по выбранному каналу управления, то необходимо ввести в состав системы автоматизации нормирующий преобразователь (например, преобразователь напряжения переменного тока 0…1</w:t>
            </w:r>
            <w:proofErr w:type="gramStart"/>
            <w:r>
              <w:rPr>
                <w:color w:val="000666"/>
              </w:rPr>
              <w:t xml:space="preserve"> В</w:t>
            </w:r>
            <w:proofErr w:type="gramEnd"/>
            <w:r>
              <w:rPr>
                <w:color w:val="000666"/>
              </w:rPr>
              <w:t xml:space="preserve">  </w:t>
            </w:r>
            <w:proofErr w:type="spellStart"/>
            <w:r>
              <w:rPr>
                <w:color w:val="000666"/>
              </w:rPr>
              <w:t>в</w:t>
            </w:r>
            <w:proofErr w:type="spellEnd"/>
            <w:r>
              <w:rPr>
                <w:color w:val="000666"/>
              </w:rPr>
              <w:t xml:space="preserve"> сигнал постоянного тока 4…20 мА);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в) определяется состав информационной аппаратуры (вторичных приборов, сигнальных устройств и др.), устанавливаемой по месту измерения и регулирования, на операторском пульте, на местном щите управления и</w:t>
            </w:r>
            <w:r>
              <w:rPr>
                <w:color w:val="000666"/>
              </w:rPr>
              <w:br/>
              <w:t>т.д.;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г) исходя из функций системы автоматизац</w:t>
            </w:r>
            <w:proofErr w:type="gramStart"/>
            <w:r>
              <w:rPr>
                <w:color w:val="000666"/>
              </w:rPr>
              <w:t>ии и ие</w:t>
            </w:r>
            <w:proofErr w:type="gramEnd"/>
            <w:r>
              <w:rPr>
                <w:color w:val="000666"/>
              </w:rPr>
              <w:t>рархического структурного построения системы, определяется наличие ключей, кнопок управления, источников питания, блоков или пультов управления и т.д.;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д) в зависимости от количества регулирующих органов, на которые будет воздействовать система регулирования, определяется соответствующее количество аппаратуры  для реализации команд управления (магнитных пускателей, исполнительных механизмов и т.д.);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е) на основе </w:t>
            </w:r>
            <w:proofErr w:type="gramStart"/>
            <w:r>
              <w:rPr>
                <w:color w:val="000666"/>
              </w:rPr>
              <w:t>характеристики условий работы проектируемой системы автоматизации</w:t>
            </w:r>
            <w:proofErr w:type="gramEnd"/>
            <w:r>
              <w:rPr>
                <w:color w:val="000666"/>
              </w:rPr>
              <w:t xml:space="preserve"> выбирается соответствующая ветвь средств автоматизации (электрическая, пневматическая, гидравлическая). Кроме того, необходимо учитывать эксплуатационную надежность элементов системы в данной среде, возможность реализации системы с минимальными затратами, необходимое быстродействие, протяженность каналов связи от датчика и до исполнительного механизма, используемого на данном предприятии или принятого в проекте автоматизации род энергии и </w:t>
            </w:r>
            <w:proofErr w:type="spellStart"/>
            <w:r>
              <w:rPr>
                <w:color w:val="000666"/>
              </w:rPr>
              <w:t>т</w:t>
            </w:r>
            <w:proofErr w:type="gramStart"/>
            <w:r>
              <w:rPr>
                <w:color w:val="000666"/>
              </w:rPr>
              <w:t>.д</w:t>
            </w:r>
            <w:proofErr w:type="spellEnd"/>
            <w:proofErr w:type="gramEnd"/>
            <w:r>
              <w:rPr>
                <w:color w:val="000666"/>
              </w:rPr>
              <w:t xml:space="preserve"> [8].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После определения состава функциональной схемы автоматизации следует приступить к выбору отдельных элементов (комплектованию системы).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Рассмотрим подробнее выбор средств автоматизации на примере датчика.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Пример. Выбор датчика технологического параметра определяется физической природой этого параметра. При этом анализируются технические характеристики и возможности всего ряда датчиков, пригодных для измерения регулируемой (контролируемой) величины.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 xml:space="preserve">В процессе выбора датчика в первую очередь необходимо учитывать характеристики контролируемой и окружающей сред (температуру, влажность, давление и т.д.), </w:t>
            </w:r>
            <w:proofErr w:type="gramStart"/>
            <w:r>
              <w:rPr>
                <w:i/>
                <w:iCs/>
                <w:color w:val="000666"/>
              </w:rPr>
              <w:t>в</w:t>
            </w:r>
            <w:proofErr w:type="gramEnd"/>
            <w:r>
              <w:rPr>
                <w:i/>
                <w:iCs/>
                <w:color w:val="000666"/>
              </w:rPr>
              <w:t xml:space="preserve"> которых придется работать датчику. Также учитываются условия, в которых находится контролируемый параметр (в трубопроводах, в открытых емкостях под атмосферным давлением, в закрытых емкостях под избыточным давлением и т.д.). В зависимости от условий окружающей среды выбирают исполнение датчика (уровень </w:t>
            </w:r>
            <w:proofErr w:type="spellStart"/>
            <w:r>
              <w:rPr>
                <w:i/>
                <w:iCs/>
                <w:color w:val="000666"/>
              </w:rPr>
              <w:t>искробезопасности</w:t>
            </w:r>
            <w:proofErr w:type="spellEnd"/>
            <w:r>
              <w:rPr>
                <w:i/>
                <w:iCs/>
                <w:color w:val="000666"/>
              </w:rPr>
              <w:t>, степень взрывобезопасности, климатическое исполнение и т.д.).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Диапазон действия датчика выбирается с учетом минимальных и максимальных длительных значений регулируемой величины.  Здесь необходимо учитывать, что необоснованно завышенный диапазон действия датчика снижает точность контроля (измерения).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Погрешность датчика не должна превышать допустимой погрешности контроля (измерения) регулируемой величины, которая определяется технологией производства и погрешностью регулирования по выбранному каналу управления.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Датчик должен выбираться с учетом передачи сигнала в последующие элементы системы автоматизации. Это значит, что выходной сигнал датчика должен соответствовать сигналу связи, принятому в проектируемой системе. Число выходных сигналов датчика (количество выходных преобразователей) определяется принятым составом функциональной схемы автоматизации.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При выборе датчика необходимо установить возможность обеспечения условий для нормальной работы выбранного датчика, обеспечивающих паспортные параметры датчика в предлагаемом месте его установки. Так, например, для обеспечения нормальной работы диафрагменного расходомера объемного расхода необходимо иметь длину прямолинейного участка трубопровода 10 D до и 20 D после расходомера, где D — диаметр трубопровода. Для нормальной работы щелевого расходомера объемного расхода необходимо обеспечить перепад высот (уровней) трубопровода и т.д.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В ряде случаев следует учитывать электромагнитную (магнитную) совместимость датчика с другими элементами системы автоматизации и технологического оборудования.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Немаловажное значение имеет стоимость датчика, зависящая от сложности его изготовления, стоимости чувствительного элемента, протяженности необходимых линий связи и масштабов производства (крупносерийные изделия предпочтительнее).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Наконец, необходимо учитывать также фактор морального устаревания технических средств за промежуток времени между созданием проекта системы автоматизации и его воплощением, что вынуждает предъявлять более жесткие требования в отношении новизны и перспективности применяемых датчиков и других технических средств автоматизации.</w:t>
            </w:r>
          </w:p>
          <w:p w:rsidR="00D34EDB" w:rsidRDefault="00D34EDB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 </w:t>
            </w:r>
          </w:p>
        </w:tc>
      </w:tr>
    </w:tbl>
    <w:p w:rsidR="000D70D0" w:rsidRDefault="000D70D0"/>
    <w:sectPr w:rsidR="000D7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3C7"/>
    <w:rsid w:val="000D70D0"/>
    <w:rsid w:val="003B4662"/>
    <w:rsid w:val="00C343C7"/>
    <w:rsid w:val="00D3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ED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4EDB"/>
    <w:pPr>
      <w:spacing w:before="100" w:beforeAutospacing="1" w:after="100" w:afterAutospacing="1"/>
    </w:pPr>
    <w:rPr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D34E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ED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ED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4EDB"/>
    <w:pPr>
      <w:spacing w:before="100" w:beforeAutospacing="1" w:after="100" w:afterAutospacing="1"/>
    </w:pPr>
    <w:rPr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D34E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ED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1374</Words>
  <Characters>7833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2020-11-03T14:47:00Z</dcterms:created>
  <dcterms:modified xsi:type="dcterms:W3CDTF">2020-11-03T15:02:00Z</dcterms:modified>
</cp:coreProperties>
</file>