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41E5C" w14:textId="77F395C2" w:rsidR="004D1218" w:rsidRPr="00C641AA" w:rsidRDefault="009F14D1" w:rsidP="00C641A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641AA">
        <w:rPr>
          <w:rFonts w:ascii="Times New Roman" w:hAnsi="Times New Roman" w:cs="Times New Roman"/>
          <w:b/>
          <w:sz w:val="32"/>
          <w:szCs w:val="32"/>
        </w:rPr>
        <w:t xml:space="preserve">Основы </w:t>
      </w:r>
      <w:bookmarkStart w:id="0" w:name="_GoBack"/>
      <w:bookmarkEnd w:id="0"/>
      <w:r w:rsidRPr="00C641AA">
        <w:rPr>
          <w:rFonts w:ascii="Times New Roman" w:hAnsi="Times New Roman" w:cs="Times New Roman"/>
          <w:b/>
          <w:sz w:val="32"/>
          <w:szCs w:val="32"/>
        </w:rPr>
        <w:t>организации биотехнологического производства. Стадии биотехнологических процессов. Сырье, питательная среда.</w:t>
      </w:r>
    </w:p>
    <w:p w14:paraId="56C5231E" w14:textId="63E1289D" w:rsidR="00B7200A" w:rsidRDefault="00B7200A">
      <w:pPr>
        <w:rPr>
          <w:rFonts w:ascii="Times New Roman" w:hAnsi="Times New Roman" w:cs="Times New Roman"/>
          <w:sz w:val="32"/>
          <w:szCs w:val="32"/>
        </w:rPr>
      </w:pPr>
    </w:p>
    <w:p w14:paraId="761C8056" w14:textId="77777777" w:rsidR="00B7200A" w:rsidRDefault="00B7200A" w:rsidP="00B7200A">
      <w:pPr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 w:rsidRPr="00B7200A">
        <w:rPr>
          <w:rFonts w:ascii="Times New Roman" w:hAnsi="Times New Roman" w:cs="Times New Roman"/>
          <w:sz w:val="32"/>
          <w:szCs w:val="32"/>
        </w:rPr>
        <w:t xml:space="preserve">Основы организации биотехнологического производства 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состоит из следующих этапов </w:t>
      </w:r>
    </w:p>
    <w:p w14:paraId="10885011" w14:textId="77777777" w:rsidR="00B7200A" w:rsidRDefault="00B7200A" w:rsidP="00B7200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 xml:space="preserve">- </w:t>
      </w:r>
      <w:r w:rsidRPr="00B7200A">
        <w:rPr>
          <w:rFonts w:ascii="Times New Roman" w:hAnsi="Times New Roman" w:cs="Times New Roman"/>
          <w:sz w:val="32"/>
          <w:szCs w:val="32"/>
        </w:rPr>
        <w:t xml:space="preserve">Подготовка биологических объектов к культивированию. </w:t>
      </w:r>
    </w:p>
    <w:p w14:paraId="6219698C" w14:textId="77777777" w:rsidR="00B7200A" w:rsidRDefault="00B7200A" w:rsidP="00B7200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 xml:space="preserve">- </w:t>
      </w:r>
      <w:r w:rsidRPr="00B7200A">
        <w:rPr>
          <w:rFonts w:ascii="Times New Roman" w:hAnsi="Times New Roman" w:cs="Times New Roman"/>
          <w:sz w:val="32"/>
          <w:szCs w:val="32"/>
        </w:rPr>
        <w:t xml:space="preserve">Генетические основы совершенствования объектов. </w:t>
      </w:r>
    </w:p>
    <w:p w14:paraId="2E8DC781" w14:textId="77777777" w:rsidR="00B7200A" w:rsidRDefault="00B7200A" w:rsidP="00B7200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-</w:t>
      </w:r>
      <w:r w:rsidRPr="00B7200A">
        <w:rPr>
          <w:rFonts w:ascii="Times New Roman" w:hAnsi="Times New Roman" w:cs="Times New Roman"/>
          <w:sz w:val="32"/>
          <w:szCs w:val="32"/>
        </w:rPr>
        <w:t xml:space="preserve">Культивирование биологических объектов. </w:t>
      </w:r>
    </w:p>
    <w:p w14:paraId="6D5EF1C7" w14:textId="6E6E542E" w:rsidR="00B7200A" w:rsidRDefault="00B7200A" w:rsidP="00B7200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-</w:t>
      </w:r>
      <w:r w:rsidRPr="00B7200A">
        <w:rPr>
          <w:rFonts w:ascii="Times New Roman" w:hAnsi="Times New Roman" w:cs="Times New Roman"/>
          <w:sz w:val="32"/>
          <w:szCs w:val="32"/>
        </w:rPr>
        <w:t xml:space="preserve">Принципы действия и конструкции биореакторов. </w:t>
      </w:r>
    </w:p>
    <w:p w14:paraId="709CE255" w14:textId="77777777" w:rsidR="00B7200A" w:rsidRDefault="00B7200A" w:rsidP="00B7200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-</w:t>
      </w:r>
      <w:r w:rsidRPr="00B7200A">
        <w:rPr>
          <w:rFonts w:ascii="Times New Roman" w:hAnsi="Times New Roman" w:cs="Times New Roman"/>
          <w:sz w:val="32"/>
          <w:szCs w:val="32"/>
        </w:rPr>
        <w:t xml:space="preserve">Лабораторные, пилотные и промышленные биореакторы; проблемы масштабирования. </w:t>
      </w:r>
    </w:p>
    <w:p w14:paraId="6092EB90" w14:textId="77777777" w:rsidR="00B7200A" w:rsidRDefault="00B7200A" w:rsidP="00B7200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-</w:t>
      </w:r>
      <w:r w:rsidRPr="00B7200A">
        <w:rPr>
          <w:rFonts w:ascii="Times New Roman" w:hAnsi="Times New Roman" w:cs="Times New Roman"/>
          <w:sz w:val="32"/>
          <w:szCs w:val="32"/>
        </w:rPr>
        <w:t xml:space="preserve">Биотехнологические процессы и аппараты периодического и непрерывного действия; специализированные типы биотехнологических процессов и аппаратов. </w:t>
      </w:r>
    </w:p>
    <w:p w14:paraId="4FDFEC65" w14:textId="40923171" w:rsidR="00B7200A" w:rsidRDefault="00B7200A" w:rsidP="00B7200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 xml:space="preserve">- </w:t>
      </w:r>
      <w:r w:rsidRPr="00B7200A">
        <w:rPr>
          <w:rFonts w:ascii="Times New Roman" w:hAnsi="Times New Roman" w:cs="Times New Roman"/>
          <w:sz w:val="32"/>
          <w:szCs w:val="32"/>
        </w:rPr>
        <w:t xml:space="preserve">Получение конечного продукта: отделение биомассы от </w:t>
      </w:r>
      <w:proofErr w:type="spellStart"/>
      <w:r w:rsidRPr="00B7200A">
        <w:rPr>
          <w:rFonts w:ascii="Times New Roman" w:hAnsi="Times New Roman" w:cs="Times New Roman"/>
          <w:sz w:val="32"/>
          <w:szCs w:val="32"/>
        </w:rPr>
        <w:t>культуральной</w:t>
      </w:r>
      <w:proofErr w:type="spellEnd"/>
      <w:r w:rsidRPr="00B7200A">
        <w:rPr>
          <w:rFonts w:ascii="Times New Roman" w:hAnsi="Times New Roman" w:cs="Times New Roman"/>
          <w:sz w:val="32"/>
          <w:szCs w:val="32"/>
        </w:rPr>
        <w:t xml:space="preserve"> жидкости; методы разрушения клеток; отделение и очистка; концентрирование; обезвоживание; пути модификации; стабилизация, безопасность продукта.</w:t>
      </w:r>
    </w:p>
    <w:p w14:paraId="5F727DC5" w14:textId="2494AFE4" w:rsidR="00B7200A" w:rsidRDefault="00B7200A" w:rsidP="00B7200A">
      <w:pPr>
        <w:pStyle w:val="a3"/>
        <w:shd w:val="clear" w:color="auto" w:fill="FFFFFF"/>
        <w:spacing w:before="150" w:beforeAutospacing="0" w:after="150" w:afterAutospacing="0"/>
        <w:textAlignment w:val="baseline"/>
        <w:rPr>
          <w:rFonts w:ascii="Helvetica" w:hAnsi="Helvetica"/>
          <w:color w:val="332F2F"/>
          <w:sz w:val="21"/>
          <w:szCs w:val="21"/>
        </w:rPr>
      </w:pPr>
      <w:r>
        <w:rPr>
          <w:rFonts w:ascii="Helvetica" w:hAnsi="Helvetica"/>
          <w:color w:val="332F2F"/>
          <w:sz w:val="21"/>
          <w:szCs w:val="21"/>
        </w:rPr>
        <w:t xml:space="preserve">Основу промышленного </w:t>
      </w:r>
      <w:proofErr w:type="gramStart"/>
      <w:r>
        <w:rPr>
          <w:rFonts w:ascii="Helvetica" w:hAnsi="Helvetica"/>
          <w:color w:val="332F2F"/>
          <w:sz w:val="21"/>
          <w:szCs w:val="21"/>
        </w:rPr>
        <w:t>производства  продуктов</w:t>
      </w:r>
      <w:proofErr w:type="gramEnd"/>
      <w:r>
        <w:rPr>
          <w:rFonts w:ascii="Helvetica" w:hAnsi="Helvetica"/>
          <w:color w:val="332F2F"/>
          <w:sz w:val="21"/>
          <w:szCs w:val="21"/>
        </w:rPr>
        <w:t xml:space="preserve"> биосинтеза составляет единая биотехнологическая система, которая включает основные компоненты, взаимодействующие между собой в определенном режиме посредством соответствующей аппаратуры (рис. ).</w:t>
      </w:r>
    </w:p>
    <w:p w14:paraId="464FE301" w14:textId="46B18DAB" w:rsidR="00B7200A" w:rsidRDefault="00B7200A" w:rsidP="00B7200A">
      <w:pPr>
        <w:pStyle w:val="a3"/>
        <w:shd w:val="clear" w:color="auto" w:fill="FFFFFF"/>
        <w:spacing w:before="150" w:beforeAutospacing="0" w:after="150" w:afterAutospacing="0"/>
        <w:textAlignment w:val="baseline"/>
        <w:rPr>
          <w:rFonts w:ascii="Helvetica" w:hAnsi="Helvetica"/>
          <w:color w:val="332F2F"/>
          <w:sz w:val="21"/>
          <w:szCs w:val="21"/>
        </w:rPr>
      </w:pPr>
      <w:r>
        <w:rPr>
          <w:rFonts w:ascii="Helvetica" w:hAnsi="Helvetica"/>
          <w:noProof/>
          <w:color w:val="332F2F"/>
          <w:sz w:val="21"/>
          <w:szCs w:val="21"/>
        </w:rPr>
        <w:drawing>
          <wp:inline distT="0" distB="0" distL="0" distR="0" wp14:anchorId="2DFD09EC" wp14:editId="14561D5F">
            <wp:extent cx="5715000" cy="2438400"/>
            <wp:effectExtent l="0" t="0" r="0" b="0"/>
            <wp:docPr id="1" name="Рисунок 1" descr="https://farmf.ru/data/uploads/allpages/img-book/biotechnologi/osnovi_farm_biotech/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armf.ru/data/uploads/allpages/img-book/biotechnologi/osnovi_farm_biotech/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FB330" w14:textId="77777777" w:rsidR="00C11780" w:rsidRDefault="00B7200A" w:rsidP="00B7200A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332F2F"/>
          <w:sz w:val="21"/>
          <w:szCs w:val="21"/>
        </w:rPr>
      </w:pPr>
      <w:r>
        <w:rPr>
          <w:rStyle w:val="a4"/>
          <w:rFonts w:ascii="inherit" w:hAnsi="inherit"/>
          <w:color w:val="332F2F"/>
          <w:sz w:val="21"/>
          <w:szCs w:val="21"/>
          <w:bdr w:val="none" w:sz="0" w:space="0" w:color="auto" w:frame="1"/>
        </w:rPr>
        <w:t>Основные технологические стадии биотехнологического процесса включают:</w:t>
      </w:r>
      <w:r>
        <w:rPr>
          <w:rFonts w:ascii="Helvetica" w:hAnsi="Helvetica"/>
          <w:color w:val="332F2F"/>
          <w:sz w:val="21"/>
          <w:szCs w:val="21"/>
        </w:rPr>
        <w:br/>
        <w:t>1. Приготовление к стерилизации питательных сред;</w:t>
      </w:r>
    </w:p>
    <w:p w14:paraId="1E95119C" w14:textId="77777777" w:rsidR="00C11780" w:rsidRDefault="00B7200A" w:rsidP="00B7200A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332F2F"/>
          <w:sz w:val="21"/>
          <w:szCs w:val="21"/>
        </w:rPr>
      </w:pPr>
      <w:r>
        <w:rPr>
          <w:rFonts w:ascii="Helvetica" w:hAnsi="Helvetica"/>
          <w:color w:val="332F2F"/>
          <w:sz w:val="21"/>
          <w:szCs w:val="21"/>
        </w:rPr>
        <w:lastRenderedPageBreak/>
        <w:t>2. Приготовление посевного материала;</w:t>
      </w:r>
    </w:p>
    <w:p w14:paraId="50956497" w14:textId="77777777" w:rsidR="00C11780" w:rsidRDefault="00B7200A" w:rsidP="00B7200A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332F2F"/>
          <w:sz w:val="21"/>
          <w:szCs w:val="21"/>
        </w:rPr>
      </w:pPr>
      <w:r>
        <w:rPr>
          <w:rFonts w:ascii="Helvetica" w:hAnsi="Helvetica"/>
          <w:color w:val="332F2F"/>
          <w:sz w:val="21"/>
          <w:szCs w:val="21"/>
        </w:rPr>
        <w:t>3. Культивирование;</w:t>
      </w:r>
    </w:p>
    <w:p w14:paraId="33B089F5" w14:textId="77777777" w:rsidR="00C11780" w:rsidRDefault="00B7200A" w:rsidP="00B7200A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332F2F"/>
          <w:sz w:val="21"/>
          <w:szCs w:val="21"/>
        </w:rPr>
      </w:pPr>
      <w:r>
        <w:rPr>
          <w:rFonts w:ascii="Helvetica" w:hAnsi="Helvetica"/>
          <w:color w:val="332F2F"/>
          <w:sz w:val="21"/>
          <w:szCs w:val="21"/>
        </w:rPr>
        <w:t xml:space="preserve">4. Обработку </w:t>
      </w:r>
      <w:proofErr w:type="spellStart"/>
      <w:r>
        <w:rPr>
          <w:rFonts w:ascii="Helvetica" w:hAnsi="Helvetica"/>
          <w:color w:val="332F2F"/>
          <w:sz w:val="21"/>
          <w:szCs w:val="21"/>
        </w:rPr>
        <w:t>культуральной</w:t>
      </w:r>
      <w:proofErr w:type="spellEnd"/>
      <w:r>
        <w:rPr>
          <w:rFonts w:ascii="Helvetica" w:hAnsi="Helvetica"/>
          <w:color w:val="332F2F"/>
          <w:sz w:val="21"/>
          <w:szCs w:val="21"/>
        </w:rPr>
        <w:t xml:space="preserve"> жидкости;</w:t>
      </w:r>
    </w:p>
    <w:p w14:paraId="635E850F" w14:textId="77777777" w:rsidR="00C11780" w:rsidRDefault="00B7200A" w:rsidP="00B7200A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332F2F"/>
          <w:sz w:val="21"/>
          <w:szCs w:val="21"/>
        </w:rPr>
      </w:pPr>
      <w:r>
        <w:rPr>
          <w:rFonts w:ascii="Helvetica" w:hAnsi="Helvetica"/>
          <w:color w:val="332F2F"/>
          <w:sz w:val="21"/>
          <w:szCs w:val="21"/>
        </w:rPr>
        <w:t>5. Выделение и очистку биопрепарата;</w:t>
      </w:r>
    </w:p>
    <w:p w14:paraId="01C4818C" w14:textId="798E4E4B" w:rsidR="00B7200A" w:rsidRDefault="00B7200A" w:rsidP="00B7200A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332F2F"/>
          <w:sz w:val="21"/>
          <w:szCs w:val="21"/>
        </w:rPr>
      </w:pPr>
      <w:r>
        <w:rPr>
          <w:rFonts w:ascii="Helvetica" w:hAnsi="Helvetica"/>
          <w:color w:val="332F2F"/>
          <w:sz w:val="21"/>
          <w:szCs w:val="21"/>
        </w:rPr>
        <w:t>6. Получение готовой продукции</w:t>
      </w:r>
    </w:p>
    <w:p w14:paraId="2A4128A7" w14:textId="77777777" w:rsidR="00B7200A" w:rsidRDefault="00B7200A" w:rsidP="00B7200A">
      <w:pPr>
        <w:jc w:val="both"/>
        <w:rPr>
          <w:rStyle w:val="a4"/>
          <w:color w:val="332F2F"/>
          <w:sz w:val="21"/>
          <w:szCs w:val="21"/>
          <w:bdr w:val="none" w:sz="0" w:space="0" w:color="auto" w:frame="1"/>
          <w:shd w:val="clear" w:color="auto" w:fill="FFFFFF"/>
        </w:rPr>
      </w:pPr>
      <w:r>
        <w:rPr>
          <w:rStyle w:val="a4"/>
          <w:rFonts w:ascii="Helvetica" w:hAnsi="Helvetica"/>
          <w:color w:val="332F2F"/>
          <w:sz w:val="21"/>
          <w:szCs w:val="21"/>
          <w:bdr w:val="none" w:sz="0" w:space="0" w:color="auto" w:frame="1"/>
          <w:shd w:val="clear" w:color="auto" w:fill="FFFFFF"/>
        </w:rPr>
        <w:t>К определяющим факторам биотехнологического процесса относят:</w:t>
      </w:r>
    </w:p>
    <w:p w14:paraId="22769C06" w14:textId="77777777" w:rsidR="00B7200A" w:rsidRDefault="00B7200A" w:rsidP="00B7200A">
      <w:pPr>
        <w:jc w:val="both"/>
        <w:rPr>
          <w:color w:val="332F2F"/>
          <w:sz w:val="21"/>
          <w:szCs w:val="21"/>
          <w:shd w:val="clear" w:color="auto" w:fill="FFFFFF"/>
        </w:rPr>
      </w:pPr>
      <w:r>
        <w:rPr>
          <w:rFonts w:ascii="Helvetica" w:hAnsi="Helvetica"/>
          <w:color w:val="332F2F"/>
          <w:sz w:val="21"/>
          <w:szCs w:val="21"/>
          <w:shd w:val="clear" w:color="auto" w:fill="FFFFFF"/>
        </w:rPr>
        <w:t>– вид используемого биотехнологического процесса;</w:t>
      </w:r>
    </w:p>
    <w:p w14:paraId="56223438" w14:textId="77777777" w:rsidR="00B7200A" w:rsidRDefault="00B7200A" w:rsidP="00B7200A">
      <w:pPr>
        <w:jc w:val="both"/>
        <w:rPr>
          <w:color w:val="332F2F"/>
          <w:sz w:val="21"/>
          <w:szCs w:val="21"/>
          <w:shd w:val="clear" w:color="auto" w:fill="FFFFFF"/>
        </w:rPr>
      </w:pPr>
      <w:r>
        <w:rPr>
          <w:rFonts w:ascii="Helvetica" w:hAnsi="Helvetica"/>
          <w:color w:val="332F2F"/>
          <w:sz w:val="21"/>
          <w:szCs w:val="21"/>
          <w:shd w:val="clear" w:color="auto" w:fill="FFFFFF"/>
        </w:rPr>
        <w:t>– субстрат с его биохимическими и биофизическими характеристиками;</w:t>
      </w:r>
    </w:p>
    <w:p w14:paraId="4C1381FD" w14:textId="77777777" w:rsidR="00B7200A" w:rsidRDefault="00B7200A" w:rsidP="00B7200A">
      <w:pPr>
        <w:jc w:val="both"/>
        <w:rPr>
          <w:color w:val="332F2F"/>
          <w:sz w:val="21"/>
          <w:szCs w:val="21"/>
          <w:shd w:val="clear" w:color="auto" w:fill="FFFFFF"/>
        </w:rPr>
      </w:pPr>
      <w:r>
        <w:rPr>
          <w:rFonts w:ascii="Helvetica" w:hAnsi="Helvetica"/>
          <w:color w:val="332F2F"/>
          <w:sz w:val="21"/>
          <w:szCs w:val="21"/>
          <w:shd w:val="clear" w:color="auto" w:fill="FFFFFF"/>
        </w:rPr>
        <w:t>– аппаратурное оформление, включая систему контроля управления;</w:t>
      </w:r>
    </w:p>
    <w:p w14:paraId="0FA36D8B" w14:textId="77777777" w:rsidR="00B7200A" w:rsidRDefault="00B7200A" w:rsidP="00B7200A">
      <w:pPr>
        <w:jc w:val="both"/>
        <w:rPr>
          <w:color w:val="332F2F"/>
          <w:sz w:val="21"/>
          <w:szCs w:val="21"/>
          <w:shd w:val="clear" w:color="auto" w:fill="FFFFFF"/>
        </w:rPr>
      </w:pPr>
      <w:r>
        <w:rPr>
          <w:rFonts w:ascii="Helvetica" w:hAnsi="Helvetica"/>
          <w:color w:val="332F2F"/>
          <w:sz w:val="21"/>
          <w:szCs w:val="21"/>
          <w:shd w:val="clear" w:color="auto" w:fill="FFFFFF"/>
        </w:rPr>
        <w:t>– технологический режим;</w:t>
      </w:r>
    </w:p>
    <w:p w14:paraId="437F9930" w14:textId="4DDE953E" w:rsidR="00B7200A" w:rsidRDefault="00B7200A" w:rsidP="00B7200A">
      <w:pPr>
        <w:jc w:val="both"/>
        <w:rPr>
          <w:color w:val="332F2F"/>
          <w:sz w:val="21"/>
          <w:szCs w:val="21"/>
          <w:shd w:val="clear" w:color="auto" w:fill="FFFFFF"/>
        </w:rPr>
      </w:pPr>
      <w:r>
        <w:rPr>
          <w:rFonts w:ascii="Helvetica" w:hAnsi="Helvetica"/>
          <w:color w:val="332F2F"/>
          <w:sz w:val="21"/>
          <w:szCs w:val="21"/>
          <w:shd w:val="clear" w:color="auto" w:fill="FFFFFF"/>
        </w:rPr>
        <w:t>– соответствие требованиям GMP.</w:t>
      </w:r>
      <w:r w:rsidRPr="00B7200A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  <w:lang w:val="kk-KZ"/>
        </w:rPr>
        <w:t>(</w:t>
      </w:r>
      <w:r>
        <w:rPr>
          <w:rFonts w:ascii="Arial" w:hAnsi="Arial" w:cs="Arial"/>
          <w:color w:val="222222"/>
          <w:shd w:val="clear" w:color="auto" w:fill="FFFFFF"/>
        </w:rPr>
        <w:t>Надлежащая производственная практика) – это международный стандарт</w:t>
      </w:r>
      <w:r>
        <w:rPr>
          <w:rFonts w:ascii="Arial" w:hAnsi="Arial" w:cs="Arial"/>
          <w:color w:val="222222"/>
          <w:shd w:val="clear" w:color="auto" w:fill="FFFFFF"/>
          <w:lang w:val="kk-KZ"/>
        </w:rPr>
        <w:t>)</w:t>
      </w:r>
      <w:r>
        <w:rPr>
          <w:rFonts w:ascii="Arial" w:hAnsi="Arial" w:cs="Arial"/>
          <w:color w:val="222222"/>
          <w:shd w:val="clear" w:color="auto" w:fill="FFFFFF"/>
        </w:rPr>
        <w:t>,</w:t>
      </w:r>
    </w:p>
    <w:p w14:paraId="5CEA20F9" w14:textId="2631EE95" w:rsidR="00B7200A" w:rsidRPr="00B7200A" w:rsidRDefault="00B7200A" w:rsidP="00B7200A">
      <w:pPr>
        <w:jc w:val="both"/>
        <w:rPr>
          <w:rFonts w:cs="Times New Roman"/>
          <w:sz w:val="32"/>
          <w:szCs w:val="32"/>
        </w:rPr>
      </w:pPr>
      <w:r w:rsidRPr="00B7200A">
        <w:rPr>
          <w:rFonts w:cs="Times New Roman"/>
          <w:sz w:val="32"/>
          <w:szCs w:val="32"/>
        </w:rPr>
        <w:t xml:space="preserve"> Состав питательной среды</w:t>
      </w:r>
    </w:p>
    <w:p w14:paraId="1BAD3B09" w14:textId="77777777" w:rsidR="00B7200A" w:rsidRPr="00B7200A" w:rsidRDefault="00B7200A" w:rsidP="00B7200A">
      <w:pPr>
        <w:jc w:val="both"/>
        <w:rPr>
          <w:rFonts w:cs="Times New Roman"/>
          <w:sz w:val="32"/>
          <w:szCs w:val="32"/>
        </w:rPr>
      </w:pPr>
      <w:r w:rsidRPr="00B7200A">
        <w:rPr>
          <w:rFonts w:cs="Times New Roman"/>
          <w:sz w:val="32"/>
          <w:szCs w:val="32"/>
        </w:rPr>
        <w:t>Состав питательной среды должен быть оптимальным, так как это определяет размножение, рост микроорганизмов и синтез различных БАВ. Питательные среды могут быть сложными, включающими до 50 компонентов и более, и достаточно простыми, содержащими не более 5 компонентов.</w:t>
      </w:r>
    </w:p>
    <w:p w14:paraId="2A367935" w14:textId="77777777" w:rsidR="00B7200A" w:rsidRPr="00B7200A" w:rsidRDefault="00B7200A" w:rsidP="00B7200A">
      <w:pPr>
        <w:jc w:val="both"/>
        <w:rPr>
          <w:rFonts w:cs="Times New Roman"/>
          <w:sz w:val="32"/>
          <w:szCs w:val="32"/>
        </w:rPr>
      </w:pPr>
      <w:r w:rsidRPr="00B7200A">
        <w:rPr>
          <w:rFonts w:cs="Times New Roman"/>
          <w:sz w:val="32"/>
          <w:szCs w:val="32"/>
        </w:rPr>
        <w:t>Назначение питательных сред:</w:t>
      </w:r>
    </w:p>
    <w:p w14:paraId="06D4A50C" w14:textId="77777777" w:rsidR="00B7200A" w:rsidRPr="00B7200A" w:rsidRDefault="00B7200A" w:rsidP="00B7200A">
      <w:pPr>
        <w:jc w:val="both"/>
        <w:rPr>
          <w:rFonts w:cs="Times New Roman"/>
          <w:sz w:val="32"/>
          <w:szCs w:val="32"/>
        </w:rPr>
      </w:pPr>
      <w:r w:rsidRPr="00B7200A">
        <w:rPr>
          <w:rFonts w:cs="Times New Roman"/>
          <w:sz w:val="32"/>
          <w:szCs w:val="32"/>
        </w:rPr>
        <w:t>– поддержание оптимальных для роста клеток физико-химических условий (</w:t>
      </w:r>
      <w:proofErr w:type="spellStart"/>
      <w:r w:rsidRPr="00B7200A">
        <w:rPr>
          <w:rFonts w:cs="Times New Roman"/>
          <w:sz w:val="32"/>
          <w:szCs w:val="32"/>
        </w:rPr>
        <w:t>pH</w:t>
      </w:r>
      <w:proofErr w:type="spellEnd"/>
      <w:r w:rsidRPr="00B7200A">
        <w:rPr>
          <w:rFonts w:cs="Times New Roman"/>
          <w:sz w:val="32"/>
          <w:szCs w:val="32"/>
        </w:rPr>
        <w:t xml:space="preserve">, </w:t>
      </w:r>
      <w:proofErr w:type="spellStart"/>
      <w:r w:rsidRPr="00B7200A">
        <w:rPr>
          <w:rFonts w:cs="Times New Roman"/>
          <w:sz w:val="32"/>
          <w:szCs w:val="32"/>
        </w:rPr>
        <w:t>еН</w:t>
      </w:r>
      <w:proofErr w:type="spellEnd"/>
      <w:r w:rsidRPr="00B7200A">
        <w:rPr>
          <w:rFonts w:cs="Times New Roman"/>
          <w:sz w:val="32"/>
          <w:szCs w:val="32"/>
        </w:rPr>
        <w:t>, рО2, рСО2, и т.д.);</w:t>
      </w:r>
    </w:p>
    <w:p w14:paraId="0FF1FC8A" w14:textId="649A8C10" w:rsidR="00B7200A" w:rsidRDefault="00B7200A" w:rsidP="00B7200A">
      <w:pPr>
        <w:jc w:val="both"/>
        <w:rPr>
          <w:rFonts w:cs="Times New Roman"/>
          <w:sz w:val="32"/>
          <w:szCs w:val="32"/>
        </w:rPr>
      </w:pPr>
      <w:r w:rsidRPr="00B7200A">
        <w:rPr>
          <w:rFonts w:cs="Times New Roman"/>
          <w:sz w:val="32"/>
          <w:szCs w:val="32"/>
        </w:rPr>
        <w:t>– обеспечение клеток питательными веществами для синтеза биомассы и других продуктов жизнедеятельности,</w:t>
      </w:r>
    </w:p>
    <w:p w14:paraId="310C2964" w14:textId="77777777" w:rsidR="00B7200A" w:rsidRDefault="00B7200A" w:rsidP="00B7200A">
      <w:pPr>
        <w:pStyle w:val="a3"/>
        <w:shd w:val="clear" w:color="auto" w:fill="FFFFFF"/>
        <w:spacing w:before="150" w:beforeAutospacing="0" w:after="150" w:afterAutospacing="0"/>
        <w:jc w:val="both"/>
        <w:textAlignment w:val="baseline"/>
        <w:rPr>
          <w:rFonts w:ascii="Helvetica" w:hAnsi="Helvetica"/>
          <w:color w:val="332F2F"/>
          <w:sz w:val="21"/>
          <w:szCs w:val="21"/>
        </w:rPr>
      </w:pPr>
      <w:r>
        <w:rPr>
          <w:rFonts w:ascii="Helvetica" w:hAnsi="Helvetica"/>
          <w:color w:val="332F2F"/>
          <w:sz w:val="21"/>
          <w:szCs w:val="21"/>
        </w:rPr>
        <w:t xml:space="preserve">Понятие «среда для культивирования» включает не только определенный качественный и количественный состав компонентов или отдельных элементов, необходимых для конструктивного и энергетического обмена организма (источники азота, углерода, фосфора, ряда микроэлементов, витамины, ростовые вещества), но и </w:t>
      </w:r>
      <w:proofErr w:type="spellStart"/>
      <w:r>
        <w:rPr>
          <w:rFonts w:ascii="Helvetica" w:hAnsi="Helvetica"/>
          <w:color w:val="332F2F"/>
          <w:sz w:val="21"/>
          <w:szCs w:val="21"/>
        </w:rPr>
        <w:t>физикохимические</w:t>
      </w:r>
      <w:proofErr w:type="spellEnd"/>
      <w:r>
        <w:rPr>
          <w:rFonts w:ascii="Helvetica" w:hAnsi="Helvetica"/>
          <w:color w:val="332F2F"/>
          <w:sz w:val="21"/>
          <w:szCs w:val="21"/>
        </w:rPr>
        <w:t xml:space="preserve"> к физиологические фактора (кислотность, </w:t>
      </w:r>
      <w:proofErr w:type="spellStart"/>
      <w:r>
        <w:rPr>
          <w:rFonts w:ascii="Helvetica" w:hAnsi="Helvetica"/>
          <w:color w:val="332F2F"/>
          <w:sz w:val="21"/>
          <w:szCs w:val="21"/>
        </w:rPr>
        <w:t>окислительно</w:t>
      </w:r>
      <w:proofErr w:type="spellEnd"/>
      <w:r>
        <w:rPr>
          <w:rFonts w:ascii="Helvetica" w:hAnsi="Helvetica"/>
          <w:color w:val="332F2F"/>
          <w:sz w:val="21"/>
          <w:szCs w:val="21"/>
        </w:rPr>
        <w:t xml:space="preserve"> – восстановительный потенциал, температура, аэрация и др.). Все эти факторы играют существенную роль в развитии микроорганизмов и в проявлении ими отдельных физиологических и биохимических функций. Обычно изменение одного из этих факторов среды ведет к изменению других. Значительного повышения выхода нужного продукта, образуемого микроорганизмами, достигают, используя методы математического расчета соотношения компонентов субстрата и их свойства.</w:t>
      </w:r>
    </w:p>
    <w:p w14:paraId="5B6F5D7C" w14:textId="77777777" w:rsidR="00B7200A" w:rsidRDefault="00B7200A" w:rsidP="00B7200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5"/>
          <w:rFonts w:ascii="inherit" w:hAnsi="inherit"/>
          <w:b/>
          <w:bCs/>
          <w:color w:val="332F2F"/>
          <w:sz w:val="21"/>
          <w:szCs w:val="21"/>
          <w:bdr w:val="none" w:sz="0" w:space="0" w:color="auto" w:frame="1"/>
        </w:rPr>
      </w:pPr>
      <w:r>
        <w:rPr>
          <w:rStyle w:val="a5"/>
          <w:rFonts w:ascii="inherit" w:hAnsi="inherit"/>
          <w:b/>
          <w:bCs/>
          <w:color w:val="332F2F"/>
          <w:sz w:val="21"/>
          <w:szCs w:val="21"/>
          <w:bdr w:val="none" w:sz="0" w:space="0" w:color="auto" w:frame="1"/>
        </w:rPr>
        <w:t>Питательные среды принято делить на две группы:</w:t>
      </w:r>
    </w:p>
    <w:p w14:paraId="2BF7D205" w14:textId="77777777" w:rsidR="00C11780" w:rsidRDefault="00B7200A" w:rsidP="00B7200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/>
          <w:color w:val="332F2F"/>
          <w:sz w:val="21"/>
          <w:szCs w:val="21"/>
        </w:rPr>
      </w:pPr>
      <w:r>
        <w:rPr>
          <w:rFonts w:ascii="Helvetica" w:hAnsi="Helvetica"/>
          <w:color w:val="332F2F"/>
          <w:sz w:val="21"/>
          <w:szCs w:val="21"/>
        </w:rPr>
        <w:t>1. Среды, требующие внесения 5-20%природных сывороток (из крови человека или эмбриональных экстрактов крупного рогатого скота);</w:t>
      </w:r>
    </w:p>
    <w:p w14:paraId="3A9CC1D6" w14:textId="514A56FC" w:rsidR="00B7200A" w:rsidRDefault="00B7200A" w:rsidP="00B7200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/>
          <w:color w:val="332F2F"/>
          <w:sz w:val="21"/>
          <w:szCs w:val="21"/>
        </w:rPr>
      </w:pPr>
      <w:r>
        <w:rPr>
          <w:rFonts w:ascii="Helvetica" w:hAnsi="Helvetica"/>
          <w:color w:val="332F2F"/>
          <w:sz w:val="21"/>
          <w:szCs w:val="21"/>
        </w:rPr>
        <w:t>2. Синтетические химические среды определённого состава.</w:t>
      </w:r>
    </w:p>
    <w:p w14:paraId="17FC3C06" w14:textId="77777777" w:rsidR="00B7200A" w:rsidRPr="00B7200A" w:rsidRDefault="00B7200A" w:rsidP="00B7200A">
      <w:pPr>
        <w:jc w:val="both"/>
        <w:rPr>
          <w:rFonts w:cs="Times New Roman"/>
          <w:sz w:val="32"/>
          <w:szCs w:val="32"/>
        </w:rPr>
      </w:pPr>
    </w:p>
    <w:sectPr w:rsidR="00B7200A" w:rsidRPr="00B720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4C9"/>
    <w:rsid w:val="004D1218"/>
    <w:rsid w:val="009C24C9"/>
    <w:rsid w:val="009F14D1"/>
    <w:rsid w:val="00B7200A"/>
    <w:rsid w:val="00C11780"/>
    <w:rsid w:val="00C6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F2C4E"/>
  <w15:chartTrackingRefBased/>
  <w15:docId w15:val="{21F6245D-F2F5-42B8-862F-C1579F00C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2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7200A"/>
    <w:rPr>
      <w:b/>
      <w:bCs/>
    </w:rPr>
  </w:style>
  <w:style w:type="character" w:styleId="a5">
    <w:name w:val="Emphasis"/>
    <w:basedOn w:val="a0"/>
    <w:uiPriority w:val="20"/>
    <w:qFormat/>
    <w:rsid w:val="00B7200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3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2020-09-22T09:56:00Z</dcterms:created>
  <dcterms:modified xsi:type="dcterms:W3CDTF">2020-09-24T03:32:00Z</dcterms:modified>
</cp:coreProperties>
</file>