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9BE" w:rsidRPr="00A24730" w:rsidRDefault="00B349BE" w:rsidP="00B349BE">
      <w:pPr>
        <w:ind w:right="-7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>3.1. ОБЩИЕ СВЕДЕНИЯ О СХЕМАХ ЭЛЕКТРИЧЕСКИХ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b/>
          <w:sz w:val="28"/>
          <w:szCs w:val="28"/>
        </w:rPr>
        <w:t>СОЕДИНЕНИЙ</w:t>
      </w:r>
    </w:p>
    <w:p w:rsidR="00B349BE" w:rsidRPr="00A24730" w:rsidRDefault="00B349BE" w:rsidP="00B349BE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B349BE" w:rsidRPr="00A24730" w:rsidRDefault="00B349BE" w:rsidP="00B349BE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B349BE" w:rsidRPr="00A24730" w:rsidRDefault="00B349BE" w:rsidP="00B349BE">
      <w:pPr>
        <w:ind w:left="860" w:right="-7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Система электроснабжения промышленного предприятия состоит </w:t>
      </w:r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>из</w:t>
      </w:r>
      <w:proofErr w:type="gramEnd"/>
    </w:p>
    <w:p w:rsidR="00B349BE" w:rsidRPr="00A24730" w:rsidRDefault="00B349BE" w:rsidP="00B349BE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B349BE" w:rsidRPr="00A24730" w:rsidRDefault="00B349BE" w:rsidP="00B349BE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i/>
          <w:sz w:val="28"/>
          <w:szCs w:val="28"/>
        </w:rPr>
        <w:t>источников питания и линий электропередачи</w:t>
      </w:r>
      <w:r w:rsidRPr="00A24730">
        <w:rPr>
          <w:rFonts w:ascii="Times New Roman" w:eastAsia="Times New Roman" w:hAnsi="Times New Roman"/>
          <w:sz w:val="28"/>
          <w:szCs w:val="28"/>
        </w:rPr>
        <w:t>,</w:t>
      </w:r>
      <w:r w:rsidRPr="00A24730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осуществляющих подачу и</w:t>
      </w:r>
      <w:r w:rsidRPr="00A24730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электроэнергии к предприятию, понизительных, распределительных и преобразовательных подстанций и связывающих их воздушных, кабельных линий и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токопроводов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>, обеспечивающих на требуемом напряжении подвод электроэнергии к ее потребителям.</w:t>
      </w:r>
    </w:p>
    <w:p w:rsidR="00B349BE" w:rsidRPr="00A24730" w:rsidRDefault="00B349BE" w:rsidP="00B349BE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B349BE" w:rsidRPr="00A24730" w:rsidRDefault="00B349BE" w:rsidP="00B349BE">
      <w:pPr>
        <w:ind w:left="860" w:right="-7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Различают схемы </w:t>
      </w:r>
      <w:r w:rsidRPr="00A24730">
        <w:rPr>
          <w:rFonts w:ascii="Times New Roman" w:eastAsia="Times New Roman" w:hAnsi="Times New Roman"/>
          <w:i/>
          <w:sz w:val="28"/>
          <w:szCs w:val="28"/>
        </w:rPr>
        <w:t>первичных и вторичных электрических соединений</w:t>
      </w:r>
    </w:p>
    <w:p w:rsidR="00B349BE" w:rsidRPr="00A24730" w:rsidRDefault="00B349BE" w:rsidP="00B349BE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B349BE" w:rsidRPr="00A24730" w:rsidRDefault="00B349BE" w:rsidP="00B349BE">
      <w:pPr>
        <w:ind w:right="-7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A24730">
        <w:rPr>
          <w:rFonts w:ascii="Times New Roman" w:eastAsia="Times New Roman" w:hAnsi="Times New Roman"/>
          <w:i/>
          <w:sz w:val="28"/>
          <w:szCs w:val="28"/>
        </w:rPr>
        <w:t>электроустановок.</w:t>
      </w:r>
    </w:p>
    <w:p w:rsidR="00B349BE" w:rsidRPr="00A24730" w:rsidRDefault="00B349BE" w:rsidP="00B349BE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B349BE" w:rsidRPr="00A24730" w:rsidRDefault="00B349BE" w:rsidP="00B349BE">
      <w:pPr>
        <w:numPr>
          <w:ilvl w:val="1"/>
          <w:numId w:val="1"/>
        </w:numPr>
        <w:tabs>
          <w:tab w:val="left" w:pos="1092"/>
        </w:tabs>
        <w:ind w:right="-7" w:firstLine="850"/>
        <w:jc w:val="both"/>
        <w:rPr>
          <w:rFonts w:ascii="Times New Roman" w:eastAsia="Times New Roman" w:hAnsi="Times New Roman"/>
          <w:sz w:val="28"/>
          <w:szCs w:val="28"/>
          <w:u w:val="single"/>
        </w:rPr>
      </w:pPr>
      <w:r w:rsidRPr="00A24730">
        <w:rPr>
          <w:rFonts w:ascii="Times New Roman" w:eastAsia="Times New Roman" w:hAnsi="Times New Roman"/>
          <w:sz w:val="28"/>
          <w:szCs w:val="28"/>
          <w:u w:val="single"/>
        </w:rPr>
        <w:t>первичным цепям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относят главные цепи электроустановок, по которым электрическая энергия передается потребителям.</w:t>
      </w:r>
    </w:p>
    <w:p w:rsidR="00B349BE" w:rsidRPr="00A24730" w:rsidRDefault="00B349BE" w:rsidP="00B349BE">
      <w:pPr>
        <w:ind w:right="-7"/>
        <w:jc w:val="both"/>
        <w:rPr>
          <w:rFonts w:ascii="Times New Roman" w:eastAsia="Times New Roman" w:hAnsi="Times New Roman"/>
          <w:sz w:val="28"/>
          <w:szCs w:val="28"/>
          <w:u w:val="single"/>
        </w:rPr>
      </w:pPr>
    </w:p>
    <w:p w:rsidR="00B349BE" w:rsidRPr="00A24730" w:rsidRDefault="00B349BE" w:rsidP="00B349BE">
      <w:pPr>
        <w:numPr>
          <w:ilvl w:val="1"/>
          <w:numId w:val="1"/>
        </w:numPr>
        <w:tabs>
          <w:tab w:val="left" w:pos="1099"/>
        </w:tabs>
        <w:ind w:right="-7" w:firstLine="850"/>
        <w:jc w:val="both"/>
        <w:rPr>
          <w:rFonts w:ascii="Times New Roman" w:eastAsia="Times New Roman" w:hAnsi="Times New Roman"/>
          <w:sz w:val="28"/>
          <w:szCs w:val="28"/>
          <w:u w:val="single"/>
        </w:rPr>
      </w:pPr>
      <w:r w:rsidRPr="00A24730">
        <w:rPr>
          <w:rFonts w:ascii="Times New Roman" w:eastAsia="Times New Roman" w:hAnsi="Times New Roman"/>
          <w:sz w:val="28"/>
          <w:szCs w:val="28"/>
          <w:u w:val="single"/>
        </w:rPr>
        <w:t>вторичным цепям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относят цепи, служащие для соединения вторичного электрооборудования - измерительных приборов, приборов и аппаратов управления и сигнализации, устройств релейной защиты и автоматики.</w:t>
      </w:r>
    </w:p>
    <w:p w:rsidR="00B349BE" w:rsidRPr="00A24730" w:rsidRDefault="00B349BE" w:rsidP="00B349BE">
      <w:pPr>
        <w:ind w:right="-7"/>
        <w:jc w:val="both"/>
        <w:rPr>
          <w:rFonts w:ascii="Times New Roman" w:eastAsia="Times New Roman" w:hAnsi="Times New Roman"/>
          <w:sz w:val="28"/>
          <w:szCs w:val="28"/>
          <w:u w:val="single"/>
        </w:rPr>
      </w:pPr>
    </w:p>
    <w:p w:rsidR="00B349BE" w:rsidRPr="00A24730" w:rsidRDefault="00B349BE" w:rsidP="00B349BE">
      <w:pPr>
        <w:ind w:left="860" w:right="-7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Рассмотрим схемы электрических соединений первичных цепей.</w:t>
      </w:r>
    </w:p>
    <w:p w:rsidR="00B349BE" w:rsidRPr="00A24730" w:rsidRDefault="00B349BE" w:rsidP="00B349BE">
      <w:pPr>
        <w:ind w:right="-7"/>
        <w:jc w:val="both"/>
        <w:rPr>
          <w:rFonts w:ascii="Times New Roman" w:eastAsia="Times New Roman" w:hAnsi="Times New Roman"/>
          <w:sz w:val="28"/>
          <w:szCs w:val="28"/>
          <w:u w:val="single"/>
        </w:rPr>
      </w:pPr>
    </w:p>
    <w:p w:rsidR="00B349BE" w:rsidRPr="00A24730" w:rsidRDefault="00B349BE" w:rsidP="00B349BE">
      <w:pPr>
        <w:numPr>
          <w:ilvl w:val="0"/>
          <w:numId w:val="1"/>
        </w:numPr>
        <w:tabs>
          <w:tab w:val="left" w:pos="800"/>
        </w:tabs>
        <w:ind w:left="800" w:right="-7" w:hanging="449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>СХЕМЫ ВНЕШНЕГО ЭЛЕКТРОСНАБЖЕНИЯ ПРЕДПРИЯТИЙ</w:t>
      </w:r>
    </w:p>
    <w:p w:rsidR="00B349BE" w:rsidRPr="00A24730" w:rsidRDefault="00B349BE" w:rsidP="00B349BE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B349BE" w:rsidRPr="00A24730" w:rsidRDefault="00B349BE" w:rsidP="00B349BE">
      <w:pPr>
        <w:ind w:left="3440" w:right="-7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>СХЕМЫ ПОДСТАНЦИЙ</w:t>
      </w:r>
    </w:p>
    <w:p w:rsidR="00B349BE" w:rsidRDefault="00B349BE" w:rsidP="00B349BE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</w:p>
    <w:p w:rsidR="00B349BE" w:rsidRPr="00A24730" w:rsidRDefault="00B349BE" w:rsidP="00B349BE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Для промышленных предприятий наиболее экономичной и надежной является централизованная система электроснабжения с применением глубоких вводов.</w:t>
      </w:r>
    </w:p>
    <w:p w:rsidR="00B349BE" w:rsidRPr="00A24730" w:rsidRDefault="00B349BE" w:rsidP="00B349BE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Электроснабжение промышленного предприятия от энергосистемы осуществляется воздушными линиями (35—220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кВ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>) или кабельными линиями (35-110кВ). Прием электроэнергии производится на главных понизительных подстанциях (ГПП) или на узловых распределительных подстанциях (УРП)</w:t>
      </w:r>
    </w:p>
    <w:p w:rsidR="00B349BE" w:rsidRPr="00A24730" w:rsidRDefault="00B349BE" w:rsidP="00B349BE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Главной понизительной подстанцией называется подстанция, получающая питание от энергосистемы, преобразующая и распределяющая электроэнергию на низком напряжении (6-10кВ) по предприятию или его отдельным районам.</w:t>
      </w:r>
    </w:p>
    <w:p w:rsidR="00B349BE" w:rsidRPr="00A24730" w:rsidRDefault="00B349BE" w:rsidP="00B349BE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Узловой распределительной подстанцией (УРП) называется центральная</w:t>
      </w:r>
      <w:bookmarkStart w:id="0" w:name="page21"/>
      <w:bookmarkEnd w:id="0"/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подстанция предприятия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получающая электроэнергию от </w:t>
      </w:r>
      <w:r w:rsidRPr="00A24730">
        <w:rPr>
          <w:rFonts w:ascii="Times New Roman" w:eastAsia="Times New Roman" w:hAnsi="Times New Roman"/>
          <w:sz w:val="28"/>
          <w:szCs w:val="28"/>
        </w:rPr>
        <w:lastRenderedPageBreak/>
        <w:t>энергосистемы и распределяющая ее на том же напряжении по подстанциям глубоких вводов (ПГВ) на территории предприятия.</w:t>
      </w:r>
    </w:p>
    <w:p w:rsidR="00B349BE" w:rsidRPr="00A24730" w:rsidRDefault="00B349BE" w:rsidP="00B349BE">
      <w:pPr>
        <w:ind w:left="2"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Подстанцией глубоких вводов называется подстанция, выполненная по упрощенным схемам коммутации на первичном напряжении, получающая электроэнергию от УРП или непосредственно от энергосистемы, преобразующая</w:t>
      </w:r>
      <w:r>
        <w:rPr>
          <w:rFonts w:ascii="Times New Roman" w:eastAsia="Times New Roman" w:hAnsi="Times New Roman"/>
          <w:sz w:val="28"/>
          <w:szCs w:val="28"/>
        </w:rPr>
        <w:t xml:space="preserve"> и </w:t>
      </w:r>
      <w:r w:rsidRPr="00A24730">
        <w:rPr>
          <w:rFonts w:ascii="Times New Roman" w:eastAsia="Times New Roman" w:hAnsi="Times New Roman"/>
          <w:sz w:val="28"/>
          <w:szCs w:val="28"/>
        </w:rPr>
        <w:t>распределяющая электроэнергию на низком напряжении (6-10кВ) по отдельным районам предприятия.</w:t>
      </w:r>
    </w:p>
    <w:p w:rsidR="00B349BE" w:rsidRDefault="00B349BE" w:rsidP="00B349BE">
      <w:pPr>
        <w:ind w:left="2" w:right="-7" w:firstLine="852"/>
        <w:jc w:val="both"/>
        <w:rPr>
          <w:rFonts w:ascii="Times New Roman" w:eastAsia="Times New Roman" w:hAnsi="Times New Roman"/>
          <w:sz w:val="28"/>
          <w:szCs w:val="28"/>
        </w:rPr>
      </w:pPr>
    </w:p>
    <w:p w:rsidR="00B349BE" w:rsidRDefault="00B349BE" w:rsidP="00B349BE">
      <w:pPr>
        <w:ind w:left="2" w:right="-7" w:firstLine="852"/>
        <w:jc w:val="both"/>
        <w:rPr>
          <w:rFonts w:ascii="Times New Roman" w:eastAsia="Times New Roman" w:hAnsi="Times New Roman"/>
          <w:sz w:val="28"/>
          <w:szCs w:val="28"/>
        </w:rPr>
      </w:pPr>
    </w:p>
    <w:p w:rsidR="00B349BE" w:rsidRDefault="00B349BE" w:rsidP="00B349BE">
      <w:pPr>
        <w:ind w:left="2"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724377">
        <w:object w:dxaOrig="11824" w:dyaOrig="155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2pt;height:454.5pt" o:ole="">
            <v:imagedata r:id="rId6" o:title=""/>
          </v:shape>
          <o:OLEObject Type="Embed" ProgID="Visio.Drawing.11" ShapeID="_x0000_i1025" DrawAspect="Content" ObjectID="_1641727773" r:id="rId7"/>
        </w:object>
      </w:r>
    </w:p>
    <w:p w:rsidR="00B349BE" w:rsidRDefault="00B349BE" w:rsidP="00B349BE">
      <w:pPr>
        <w:ind w:left="2" w:right="-7" w:firstLine="852"/>
        <w:jc w:val="both"/>
        <w:rPr>
          <w:rFonts w:ascii="Times New Roman" w:eastAsia="Times New Roman" w:hAnsi="Times New Roman"/>
          <w:sz w:val="28"/>
          <w:szCs w:val="28"/>
        </w:rPr>
      </w:pPr>
    </w:p>
    <w:p w:rsidR="00B349BE" w:rsidRDefault="00B349BE" w:rsidP="00B349BE">
      <w:pPr>
        <w:ind w:left="2" w:right="-7" w:firstLine="852"/>
        <w:jc w:val="both"/>
        <w:rPr>
          <w:rFonts w:ascii="Times New Roman" w:eastAsia="Times New Roman" w:hAnsi="Times New Roman"/>
          <w:sz w:val="28"/>
          <w:szCs w:val="28"/>
        </w:rPr>
      </w:pPr>
    </w:p>
    <w:p w:rsidR="00B349BE" w:rsidRDefault="00B349BE" w:rsidP="00B349BE">
      <w:pPr>
        <w:ind w:left="2" w:right="-7" w:firstLine="852"/>
        <w:jc w:val="both"/>
        <w:rPr>
          <w:rFonts w:ascii="Times New Roman" w:eastAsia="Times New Roman" w:hAnsi="Times New Roman"/>
          <w:sz w:val="28"/>
          <w:szCs w:val="28"/>
        </w:rPr>
      </w:pPr>
    </w:p>
    <w:p w:rsidR="00B349BE" w:rsidRDefault="00B349BE" w:rsidP="00B349BE">
      <w:pPr>
        <w:ind w:left="2"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Рис 3.1 – Схема электроснабжения внутри завода</w:t>
      </w:r>
    </w:p>
    <w:p w:rsidR="00B349BE" w:rsidRDefault="00B349BE" w:rsidP="00B349BE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Где ГПП – главная понизительная подстанция, ТП – трансформаторная подстанция, РУ – распределительное устройство, Д – двигатель.</w:t>
      </w:r>
    </w:p>
    <w:p w:rsidR="00B349BE" w:rsidRPr="00A24730" w:rsidRDefault="00B349BE" w:rsidP="00B349BE">
      <w:pPr>
        <w:ind w:left="2"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При построении схемы электроснабжения следует, как правило, исходить из раздельной работы линий и трансформаторов, при этом </w:t>
      </w:r>
      <w:r w:rsidRPr="00A24730">
        <w:rPr>
          <w:rFonts w:ascii="Times New Roman" w:eastAsia="Times New Roman" w:hAnsi="Times New Roman"/>
          <w:sz w:val="28"/>
          <w:szCs w:val="28"/>
        </w:rPr>
        <w:lastRenderedPageBreak/>
        <w:t xml:space="preserve">снижаются уровни токов короткого замыкания, упрощаются схемы коммутации и релейной защиты. </w:t>
      </w:r>
    </w:p>
    <w:p w:rsidR="00B349BE" w:rsidRDefault="00B349BE" w:rsidP="00B349BE">
      <w:pPr>
        <w:ind w:left="2" w:right="-7" w:firstLine="852"/>
        <w:jc w:val="both"/>
        <w:rPr>
          <w:rFonts w:ascii="Times New Roman" w:eastAsia="Times New Roman" w:hAnsi="Times New Roman"/>
          <w:sz w:val="28"/>
          <w:szCs w:val="28"/>
        </w:rPr>
      </w:pPr>
    </w:p>
    <w:p w:rsidR="00B349BE" w:rsidRPr="004F31F0" w:rsidRDefault="00B349BE" w:rsidP="00B349BE">
      <w:pPr>
        <w:ind w:left="2" w:right="-7" w:firstLine="852"/>
        <w:jc w:val="both"/>
        <w:rPr>
          <w:rFonts w:ascii="Times New Roman" w:eastAsia="Times New Roman" w:hAnsi="Times New Roman"/>
          <w:sz w:val="28"/>
          <w:szCs w:val="28"/>
        </w:rPr>
      </w:pPr>
    </w:p>
    <w:p w:rsidR="00B349BE" w:rsidRPr="00A24730" w:rsidRDefault="00B349BE" w:rsidP="00B349BE">
      <w:pPr>
        <w:numPr>
          <w:ilvl w:val="2"/>
          <w:numId w:val="3"/>
        </w:numPr>
        <w:tabs>
          <w:tab w:val="left" w:pos="709"/>
        </w:tabs>
        <w:ind w:right="-7" w:firstLine="57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>ВНУТРИПРОМЫШЛЕННЫЕ ЭЛЕКТРИЧЕСКИЕ СХЕМЫ</w:t>
      </w:r>
    </w:p>
    <w:p w:rsidR="00B349BE" w:rsidRPr="00A24730" w:rsidRDefault="00B349BE" w:rsidP="00B349BE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B349BE" w:rsidRPr="00A24730" w:rsidRDefault="00B349BE" w:rsidP="00B349BE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Распределение электрической энергии во внутрипромышленных электрических сетях выполняется по радиальным, магистральным или смешанным схемам в зависимости от территориального размещения нагрузок, их значения, требуемой степени надежности и других особенностей проектирования предприятия.</w:t>
      </w:r>
    </w:p>
    <w:p w:rsidR="00B349BE" w:rsidRPr="00A24730" w:rsidRDefault="00B349BE" w:rsidP="00B349BE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Радиальные схемы распределения применяют в тех случаях,  когда</w:t>
      </w:r>
      <w:bookmarkStart w:id="1" w:name="page37"/>
      <w:bookmarkEnd w:id="1"/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нагрузки рассредоточены по предприятию. </w:t>
      </w:r>
    </w:p>
    <w:p w:rsidR="00B349BE" w:rsidRPr="00A24730" w:rsidRDefault="00B349BE" w:rsidP="00B349BE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B349BE" w:rsidRPr="00724377" w:rsidRDefault="00B349BE" w:rsidP="00B349BE">
      <w:pPr>
        <w:ind w:firstLine="709"/>
        <w:jc w:val="both"/>
      </w:pPr>
      <w:r w:rsidRPr="00724377">
        <w:object w:dxaOrig="6077" w:dyaOrig="2765">
          <v:shape id="_x0000_i1026" type="#_x0000_t75" style="width:373.5pt;height:169.5pt" o:ole="">
            <v:imagedata r:id="rId8" o:title=""/>
          </v:shape>
          <o:OLEObject Type="Embed" ProgID="Visio.Drawing.11" ShapeID="_x0000_i1026" DrawAspect="Content" ObjectID="_1641727774" r:id="rId9"/>
        </w:object>
      </w:r>
    </w:p>
    <w:p w:rsidR="00B349BE" w:rsidRPr="00724377" w:rsidRDefault="00B349BE" w:rsidP="00B349BE">
      <w:pPr>
        <w:ind w:firstLine="709"/>
        <w:jc w:val="center"/>
        <w:rPr>
          <w:lang w:val="kk-KZ"/>
        </w:rPr>
      </w:pPr>
    </w:p>
    <w:p w:rsidR="00B349BE" w:rsidRDefault="00B349BE" w:rsidP="00B349BE">
      <w:pPr>
        <w:ind w:left="862" w:right="-7"/>
        <w:jc w:val="both"/>
        <w:rPr>
          <w:rFonts w:ascii="Times New Roman" w:eastAsia="Times New Roman" w:hAnsi="Times New Roman"/>
          <w:sz w:val="28"/>
          <w:szCs w:val="28"/>
          <w:lang w:val="kk-KZ"/>
        </w:rPr>
      </w:pPr>
      <w:r>
        <w:rPr>
          <w:rFonts w:ascii="Times New Roman" w:eastAsia="Times New Roman" w:hAnsi="Times New Roman"/>
          <w:sz w:val="28"/>
          <w:szCs w:val="28"/>
          <w:lang w:val="kk-KZ"/>
        </w:rPr>
        <w:t xml:space="preserve">3.2 – Схема радиального включения </w:t>
      </w:r>
    </w:p>
    <w:p w:rsidR="00B349BE" w:rsidRPr="007136CC" w:rsidRDefault="00B349BE" w:rsidP="00B349BE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  <w:lang w:val="kk-KZ"/>
        </w:rPr>
      </w:pPr>
      <w:r>
        <w:rPr>
          <w:rFonts w:ascii="Times New Roman" w:eastAsia="Times New Roman" w:hAnsi="Times New Roman"/>
          <w:sz w:val="28"/>
          <w:szCs w:val="28"/>
          <w:lang w:val="kk-KZ"/>
        </w:rPr>
        <w:t xml:space="preserve">Где ТП – цеховая трансформаторная подстанция, РУ – распределительное устройство, ШР1 – ШР4 – распределительные шкафы </w:t>
      </w:r>
    </w:p>
    <w:p w:rsidR="00B349BE" w:rsidRDefault="00B349BE" w:rsidP="00B349BE">
      <w:pPr>
        <w:ind w:firstLine="709"/>
        <w:jc w:val="both"/>
        <w:rPr>
          <w:lang w:val="kk-KZ"/>
        </w:rPr>
      </w:pPr>
    </w:p>
    <w:p w:rsidR="00B349BE" w:rsidRDefault="00B349BE" w:rsidP="00B349BE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Магистральные схемы применяют при распределении нагрузок в одном территориальном направлении. </w:t>
      </w:r>
    </w:p>
    <w:p w:rsidR="00B349BE" w:rsidRDefault="00B349BE" w:rsidP="00B349BE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</w:p>
    <w:p w:rsidR="00B349BE" w:rsidRPr="00724377" w:rsidRDefault="00B349BE" w:rsidP="00B349BE">
      <w:pPr>
        <w:ind w:firstLine="709"/>
        <w:jc w:val="center"/>
      </w:pPr>
      <w:r w:rsidRPr="00724377">
        <w:object w:dxaOrig="11109" w:dyaOrig="4355">
          <v:shape id="_x0000_i1027" type="#_x0000_t75" style="width:384pt;height:150.75pt" o:ole="">
            <v:imagedata r:id="rId10" o:title="" cropleft="3947f"/>
          </v:shape>
          <o:OLEObject Type="Embed" ProgID="Visio.Drawing.11" ShapeID="_x0000_i1027" DrawAspect="Content" ObjectID="_1641727775" r:id="rId11"/>
        </w:object>
      </w:r>
      <w:r w:rsidRPr="00724377">
        <w:t xml:space="preserve"> </w:t>
      </w:r>
    </w:p>
    <w:p w:rsidR="00B349BE" w:rsidRPr="00724377" w:rsidRDefault="00B349BE" w:rsidP="00B349BE">
      <w:pPr>
        <w:ind w:firstLine="709"/>
        <w:jc w:val="center"/>
      </w:pPr>
    </w:p>
    <w:p w:rsidR="00B349BE" w:rsidRDefault="00B349BE" w:rsidP="00B349BE">
      <w:pPr>
        <w:numPr>
          <w:ilvl w:val="1"/>
          <w:numId w:val="3"/>
        </w:numPr>
        <w:ind w:right="-7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– Схема магистрального включения</w:t>
      </w:r>
    </w:p>
    <w:p w:rsidR="00B349BE" w:rsidRPr="00A24730" w:rsidRDefault="00B349BE" w:rsidP="00B349BE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B349BE" w:rsidRPr="00A24730" w:rsidRDefault="00B349BE" w:rsidP="00B349BE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lastRenderedPageBreak/>
        <w:t xml:space="preserve">Одиночные магистрали могут быть выполнены без резервирования для питания потребителей III категории надежности, с резервированием по связям вторичного напряжения для питания потребителей II категории. Для питания потребителей I и II категории надежности применяются более надежные схемы с двумя и более параллельными сквозными магистралями Секции шин или трансформаторы при нормальном режиме работают раздельно, а в случае повреждения одной магистрали все подстанции переключаются на </w:t>
      </w:r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>магистраль</w:t>
      </w:r>
      <w:proofErr w:type="gramEnd"/>
      <w:r w:rsidRPr="00A24730">
        <w:rPr>
          <w:rFonts w:ascii="Times New Roman" w:eastAsia="Times New Roman" w:hAnsi="Times New Roman"/>
          <w:sz w:val="28"/>
          <w:szCs w:val="28"/>
        </w:rPr>
        <w:t xml:space="preserve"> оставшуюся в работе.</w:t>
      </w:r>
    </w:p>
    <w:p w:rsidR="00B349BE" w:rsidRPr="00A24730" w:rsidRDefault="00B349BE" w:rsidP="00B349BE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При наличии особых групп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первой категории предусматривают третий источник, который имеет минимальную мощность для</w:t>
      </w:r>
      <w:bookmarkStart w:id="2" w:name="page38"/>
      <w:bookmarkEnd w:id="2"/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безаварийного останова производства. Во избежание перегрузки третьего источника питание приемников особой группы должно </w:t>
      </w:r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>выделятся</w:t>
      </w:r>
      <w:proofErr w:type="gramEnd"/>
      <w:r w:rsidRPr="00A24730">
        <w:rPr>
          <w:rFonts w:ascii="Times New Roman" w:eastAsia="Times New Roman" w:hAnsi="Times New Roman"/>
          <w:sz w:val="28"/>
          <w:szCs w:val="28"/>
        </w:rPr>
        <w:t xml:space="preserve"> на отдельную секцию шин, автоматически подключаемую к этому источнику. Для обеспечения постоянной готовности аварийного источника к немедленному включению предусматривается его перевод в режим "горячего" резерва (включение на холостой ход дизельной электростанции) сразу после отключения по какой-либо причине одного из двух основных источников.</w:t>
      </w:r>
    </w:p>
    <w:p w:rsidR="00B349BE" w:rsidRPr="00A24730" w:rsidRDefault="00B349BE" w:rsidP="00B349BE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Радиальную схему питания применяют для достаточно мощных приемников электрической энергии. Магистральная схема питания имеет преимущественное применение для равномерно распределенной нагрузки в цехах, когда приемники расположены близко друг к другу. </w:t>
      </w:r>
    </w:p>
    <w:p w:rsidR="00B349BE" w:rsidRPr="00D657DC" w:rsidRDefault="00B349BE" w:rsidP="00B349BE">
      <w:pPr>
        <w:tabs>
          <w:tab w:val="left" w:pos="1197"/>
        </w:tabs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К </w:t>
      </w:r>
      <w:r w:rsidRPr="00D657DC">
        <w:rPr>
          <w:rFonts w:ascii="Times New Roman" w:eastAsia="Times New Roman" w:hAnsi="Times New Roman"/>
          <w:sz w:val="28"/>
          <w:szCs w:val="28"/>
        </w:rPr>
        <w:t>достоинствам радиальных схем относят повышенную надежность электроснабжения, гибкость сети в отношении расширения, приспособленность к организации систем управления. Недостатками радиальных схем являются большие затраты на сооружение сети, из-за большого числа отходящих линий.</w:t>
      </w:r>
    </w:p>
    <w:p w:rsidR="00B349BE" w:rsidRDefault="00B349BE" w:rsidP="00B349BE">
      <w:pPr>
        <w:numPr>
          <w:ilvl w:val="2"/>
          <w:numId w:val="2"/>
        </w:numPr>
        <w:tabs>
          <w:tab w:val="left" w:pos="1247"/>
        </w:tabs>
        <w:ind w:left="2" w:right="-7" w:firstLine="850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достоинствам магистральных схем относят низкие затраты на сооружение сети, удобство монтажа сети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шинопроводами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>. Недостатками магистральных схем являются пониженная надежность, трудности применения дистанционного управления.</w:t>
      </w:r>
    </w:p>
    <w:p w:rsidR="00B349BE" w:rsidRPr="00A24730" w:rsidRDefault="00B349BE" w:rsidP="00B349BE">
      <w:pPr>
        <w:tabs>
          <w:tab w:val="left" w:pos="1247"/>
        </w:tabs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</w:rPr>
        <w:t xml:space="preserve">Осветительные нагрузки цехов питаются отдельными линиями, обычно от щитков рабочего и аварийного освещения. Такая схема позволяет отключать силовую сеть для </w:t>
      </w:r>
      <w:proofErr w:type="gramStart"/>
      <w:r>
        <w:rPr>
          <w:rFonts w:ascii="Times New Roman" w:eastAsia="Times New Roman" w:hAnsi="Times New Roman"/>
          <w:sz w:val="28"/>
        </w:rPr>
        <w:t>ремонтов</w:t>
      </w:r>
      <w:proofErr w:type="gramEnd"/>
      <w:r>
        <w:rPr>
          <w:rFonts w:ascii="Times New Roman" w:eastAsia="Times New Roman" w:hAnsi="Times New Roman"/>
          <w:sz w:val="28"/>
        </w:rPr>
        <w:t xml:space="preserve"> не отключая освещения. При питании осветительной нагрузки совместно с силовой необходимо учитывать возможное ухудшение качества электроэнергии.</w:t>
      </w:r>
    </w:p>
    <w:p w:rsidR="00B349BE" w:rsidRDefault="00B349BE" w:rsidP="00B349BE">
      <w:pPr>
        <w:tabs>
          <w:tab w:val="left" w:pos="720"/>
        </w:tabs>
        <w:spacing w:line="0" w:lineRule="atLeast"/>
        <w:jc w:val="both"/>
        <w:rPr>
          <w:rFonts w:ascii="Times New Roman" w:eastAsia="Times New Roman" w:hAnsi="Times New Roman"/>
          <w:b/>
          <w:sz w:val="28"/>
        </w:rPr>
      </w:pPr>
    </w:p>
    <w:p w:rsidR="00762F32" w:rsidRDefault="00B349BE">
      <w:bookmarkStart w:id="3" w:name="_GoBack"/>
      <w:bookmarkEnd w:id="3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0"/>
    <w:multiLevelType w:val="hybridMultilevel"/>
    <w:tmpl w:val="2D517796"/>
    <w:lvl w:ilvl="0" w:tplc="FFFFFFFF">
      <w:start w:val="1"/>
      <w:numFmt w:val="decimal"/>
      <w:lvlText w:val="3.%1."/>
      <w:lvlJc w:val="left"/>
    </w:lvl>
    <w:lvl w:ilvl="1" w:tplc="FFFFFFFF">
      <w:start w:val="1"/>
      <w:numFmt w:val="bullet"/>
      <w:lvlText w:val="К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15"/>
    <w:multiLevelType w:val="hybridMultilevel"/>
    <w:tmpl w:val="6A2342EC"/>
    <w:lvl w:ilvl="0" w:tplc="FFFFFFFF">
      <w:start w:val="1"/>
      <w:numFmt w:val="bullet"/>
      <w:lvlText w:val="к"/>
      <w:lvlJc w:val="left"/>
    </w:lvl>
    <w:lvl w:ilvl="1" w:tplc="FFFFFFFF">
      <w:start w:val="4"/>
      <w:numFmt w:val="decimal"/>
      <w:lvlText w:val="3.%2."/>
      <w:lvlJc w:val="left"/>
    </w:lvl>
    <w:lvl w:ilvl="2" w:tplc="FFFFFFFF">
      <w:start w:val="1"/>
      <w:numFmt w:val="bullet"/>
      <w:lvlText w:val="К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2B186672"/>
    <w:multiLevelType w:val="multilevel"/>
    <w:tmpl w:val="C6AAE9DC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37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9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5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56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9BE"/>
    <w:rsid w:val="00097047"/>
    <w:rsid w:val="007D5BD1"/>
    <w:rsid w:val="00B349BE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9BE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9BE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821</Words>
  <Characters>4681</Characters>
  <Application>Microsoft Office Word</Application>
  <DocSecurity>0</DocSecurity>
  <Lines>39</Lines>
  <Paragraphs>10</Paragraphs>
  <ScaleCrop>false</ScaleCrop>
  <Company/>
  <LinksUpToDate>false</LinksUpToDate>
  <CharactersWithSpaces>5492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2020-01-28T08:43:00Z</dcterms:created>
  <dcterms:modified xsi:type="dcterms:W3CDTF">2020-01-28T08:43:00Z</dcterms:modified>
</cp:coreProperties>
</file>