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27" w:type="dxa"/>
        <w:tblCellSpacing w:w="15" w:type="dxa"/>
        <w:tblInd w:w="-92" w:type="dxa"/>
        <w:tblBorders>
          <w:top w:val="single" w:sz="2" w:space="0" w:color="FFFFFF"/>
          <w:left w:val="single" w:sz="2" w:space="0" w:color="FFFFFF"/>
          <w:bottom w:val="single" w:sz="2" w:space="0" w:color="FFFFFF"/>
          <w:right w:val="single" w:sz="2" w:space="0" w:color="FFFFFF"/>
        </w:tblBorders>
        <w:shd w:val="clear" w:color="auto" w:fill="FFFFFF"/>
        <w:tblLook w:val="04A0"/>
      </w:tblPr>
      <w:tblGrid>
        <w:gridCol w:w="9527"/>
      </w:tblGrid>
      <w:tr w:rsidR="00DB6233" w:rsidTr="00DB6233">
        <w:trPr>
          <w:tblCellSpacing w:w="15" w:type="dxa"/>
        </w:trPr>
        <w:tc>
          <w:tcPr>
            <w:tcW w:w="9467" w:type="dxa"/>
            <w:tcBorders>
              <w:top w:val="nil"/>
              <w:left w:val="nil"/>
              <w:bottom w:val="nil"/>
              <w:right w:val="nil"/>
            </w:tcBorders>
            <w:shd w:val="clear" w:color="auto" w:fill="FFFFFF"/>
            <w:tcMar>
              <w:top w:w="15" w:type="dxa"/>
              <w:left w:w="15" w:type="dxa"/>
              <w:bottom w:w="15" w:type="dxa"/>
              <w:right w:w="15" w:type="dxa"/>
            </w:tcMar>
            <w:hideMark/>
          </w:tcPr>
          <w:p w:rsidR="00DB6233" w:rsidRDefault="00DB6233">
            <w:pPr>
              <w:spacing w:after="100" w:afterAutospacing="1" w:line="240" w:lineRule="auto"/>
              <w:ind w:firstLine="150"/>
              <w:outlineLvl w:val="0"/>
              <w:rPr>
                <w:rFonts w:ascii="Palatino Linotype" w:eastAsia="Times New Roman" w:hAnsi="Palatino Linotype" w:cs="Times New Roman"/>
                <w:b/>
                <w:bCs/>
                <w:color w:val="000000"/>
                <w:kern w:val="36"/>
                <w:sz w:val="30"/>
                <w:szCs w:val="30"/>
                <w:lang w:eastAsia="ru-RU"/>
              </w:rPr>
            </w:pPr>
            <w:r>
              <w:rPr>
                <w:rFonts w:ascii="Palatino Linotype" w:eastAsia="Times New Roman" w:hAnsi="Palatino Linotype" w:cs="Times New Roman"/>
                <w:b/>
                <w:bCs/>
                <w:color w:val="000000"/>
                <w:kern w:val="36"/>
                <w:sz w:val="30"/>
                <w:szCs w:val="30"/>
                <w:lang w:eastAsia="ru-RU"/>
              </w:rPr>
              <w:t>Вопросы типового и индивидуального проектирования муниципального жилья</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В современных условиях необходимо отходить от практики приватизации муниципальных домов. Разделение должно происходить на региональном уровне. Муниципальное жилье должно выполнять только социальные функции, остальные виды предоставляемого жилья перейдут в ведомственные структуры, что позволит снять нагрузку с муниципального бюджета, сделать качество жилья лучше и самое главное проектировать муниципальное жилье с учетом запросов будущих жильцов. Здесь и встают вопросы типового и индивидуального характера при проектировании и строительстве муниципального жилья. Данные вопросы включают в себя несколько аспектов. Муниципальное жилье должно быть типовым, по крайней мере, в ближайшем будущем, но также включать в себя и некоторую часть, придающую индивидуальный характер данному жилью. За эти посылы выступают как архитекторы, так и социологи. Придание выразительности простыми средствами архитектуры возможно без значительных затрат - это видно на примере некоторых отечественных и западных муниципальных жилых комплексов.</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Так, например, в Намибии правительство предусматривает в государственном бюджете средства на жилищное строительство, но их количество неуклонно снижается (</w:t>
            </w:r>
            <w:proofErr w:type="gramStart"/>
            <w:r>
              <w:rPr>
                <w:rFonts w:ascii="Palatino Linotype" w:eastAsia="Times New Roman" w:hAnsi="Palatino Linotype" w:cs="Times New Roman"/>
                <w:color w:val="000000"/>
                <w:sz w:val="20"/>
                <w:szCs w:val="20"/>
                <w:lang w:eastAsia="ru-RU"/>
              </w:rPr>
              <w:t>аналогичные проблемы</w:t>
            </w:r>
            <w:proofErr w:type="gramEnd"/>
            <w:r>
              <w:rPr>
                <w:rFonts w:ascii="Palatino Linotype" w:eastAsia="Times New Roman" w:hAnsi="Palatino Linotype" w:cs="Times New Roman"/>
                <w:color w:val="000000"/>
                <w:sz w:val="20"/>
                <w:szCs w:val="20"/>
                <w:lang w:eastAsia="ru-RU"/>
              </w:rPr>
              <w:t xml:space="preserve"> возникли и в нашей стране). Однако муниципалитеты создали новаторские схемы так называемого перекрестного субсидирования для того, чтобы помочь беднейшим семьям получить участки земли для строительства собственных домов. «Принципы и методология программы состоит из десяти подпрограмм, покрывающих отдельные важнейшие проблемы:</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улучшение отдельных городских кварталов;</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строительство городского жилья;</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санация «бидонвилей» и других неформальных поселений;</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содействие общинам в создании структур, способных организовывать жилищное строительство;</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строительство социального жилья;</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благоустройство и рекультивация ландшафта;</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создание социальной инфраструктуры;</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создание инженерной инфраструктуры.</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Программа сыграла положительную роль в удовлетворении жилищных потребностей беднейших слоев населения, но она не может быть зависимой от госбюджетного финансирования длительный срок, если предполагается сделать ее устойчивой программой» [15, с. 81].</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Рассматривая муниципальное жилье с позиций типового и индивидуального проектирования, остановимся на следующих подходах к размещению муниципального жилья:</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w:t>
            </w:r>
            <w:proofErr w:type="spellStart"/>
            <w:r>
              <w:rPr>
                <w:rFonts w:ascii="Palatino Linotype" w:eastAsia="Times New Roman" w:hAnsi="Palatino Linotype" w:cs="Times New Roman"/>
                <w:color w:val="242424"/>
                <w:sz w:val="20"/>
                <w:szCs w:val="20"/>
                <w:lang w:eastAsia="ru-RU"/>
              </w:rPr>
              <w:t>центроудаленность</w:t>
            </w:r>
            <w:proofErr w:type="spellEnd"/>
            <w:r>
              <w:rPr>
                <w:rFonts w:ascii="Palatino Linotype" w:eastAsia="Times New Roman" w:hAnsi="Palatino Linotype" w:cs="Times New Roman"/>
                <w:color w:val="242424"/>
                <w:sz w:val="20"/>
                <w:szCs w:val="20"/>
                <w:lang w:eastAsia="ru-RU"/>
              </w:rPr>
              <w:t>: в настоящее время приоритетным является расположение муниципальных жилых зданий на периферии городских территорий в виде отдельных домов или групп жилых домов с обслуживающими учреждениями;</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xml:space="preserve">- рассредоточение муниципального жилья. Во избежание социальной напряженности в районах с проживанием малообеспеченных слоев населения необходимо размещать муниципальное жилье на границе с коммерческим жильем развитой инфраструктуры, это позволит избежать негативных аспектов, существующих сегодня в ряде зарубежных стран. Наряду с явно выраженным проявлением </w:t>
            </w:r>
            <w:proofErr w:type="spellStart"/>
            <w:r>
              <w:rPr>
                <w:rFonts w:ascii="Palatino Linotype" w:eastAsia="Times New Roman" w:hAnsi="Palatino Linotype" w:cs="Times New Roman"/>
                <w:color w:val="242424"/>
                <w:sz w:val="20"/>
                <w:szCs w:val="20"/>
                <w:lang w:eastAsia="ru-RU"/>
              </w:rPr>
              <w:t>ценроудаленности</w:t>
            </w:r>
            <w:proofErr w:type="spellEnd"/>
            <w:r>
              <w:rPr>
                <w:rFonts w:ascii="Palatino Linotype" w:eastAsia="Times New Roman" w:hAnsi="Palatino Linotype" w:cs="Times New Roman"/>
                <w:color w:val="242424"/>
                <w:sz w:val="20"/>
                <w:szCs w:val="20"/>
                <w:lang w:eastAsia="ru-RU"/>
              </w:rPr>
              <w:t xml:space="preserve"> муниципального жилья, важно использовать возможность строительства жилых комплексов в исторической части города для людей с разными доходами.</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 xml:space="preserve">Примером строительства подобного дома служит жилой комплекс «Палаточный городок» в </w:t>
            </w:r>
            <w:r>
              <w:rPr>
                <w:rFonts w:ascii="Palatino Linotype" w:eastAsia="Times New Roman" w:hAnsi="Palatino Linotype" w:cs="Times New Roman"/>
                <w:color w:val="000000"/>
                <w:sz w:val="20"/>
                <w:szCs w:val="20"/>
                <w:lang w:eastAsia="ru-RU"/>
              </w:rPr>
              <w:lastRenderedPageBreak/>
              <w:t xml:space="preserve">Бостоне (США). «Опыт строительства жилого комплекса «Палаточный городок» и длительная борьба за его осуществление помогли изменить политику бостонского муниципалитета, который стал привержен интегрирующим подходам к обеспечению жильем с упором на доступность домов в исторической части города для людей с разными доходами, в том числе малообеспеченных» [15, с. 89]. Строительство осуществлялось простыми материалами. Стены сделаны из красного кирпича с контрастной отделкой. Пластика фасадов обогащена эркерами, мансардными крышами. Данный проект демонстрирует создание </w:t>
            </w:r>
            <w:proofErr w:type="spellStart"/>
            <w:r>
              <w:rPr>
                <w:rFonts w:ascii="Palatino Linotype" w:eastAsia="Times New Roman" w:hAnsi="Palatino Linotype" w:cs="Times New Roman"/>
                <w:color w:val="000000"/>
                <w:sz w:val="20"/>
                <w:szCs w:val="20"/>
                <w:lang w:eastAsia="ru-RU"/>
              </w:rPr>
              <w:t>сомасштабной</w:t>
            </w:r>
            <w:proofErr w:type="spellEnd"/>
            <w:r>
              <w:rPr>
                <w:rFonts w:ascii="Palatino Linotype" w:eastAsia="Times New Roman" w:hAnsi="Palatino Linotype" w:cs="Times New Roman"/>
                <w:color w:val="000000"/>
                <w:sz w:val="20"/>
                <w:szCs w:val="20"/>
                <w:lang w:eastAsia="ru-RU"/>
              </w:rPr>
              <w:t xml:space="preserve"> человеку городской среды, гармонично вписывающейся в существующий исторический контекст, в рамках строгих сметных ограничений. Таким образом, наряду с большинством муниципальных периферийных образований должны возникать и жилые дома-комплексы в исторической части города. В существующей в настоящее время типологии жилья не затрагивались аспекты влияния на неё принципа неоднородности структуры городских территорий и характера размещения по территории города в соответствии с социально-экономической структурой населения.</w:t>
            </w:r>
          </w:p>
          <w:p w:rsidR="00DB6233" w:rsidRDefault="00DB6233">
            <w:pPr>
              <w:spacing w:after="0" w:line="0" w:lineRule="auto"/>
              <w:ind w:firstLine="150"/>
              <w:jc w:val="both"/>
              <w:rPr>
                <w:rFonts w:ascii="Palatino Linotype" w:eastAsia="Times New Roman" w:hAnsi="Palatino Linotype" w:cs="Times New Roman"/>
                <w:color w:val="656565"/>
                <w:sz w:val="23"/>
                <w:szCs w:val="23"/>
                <w:lang w:eastAsia="ru-RU"/>
              </w:rPr>
            </w:pPr>
            <w:r>
              <w:rPr>
                <w:rFonts w:ascii="Palatino Linotype" w:eastAsia="Times New Roman" w:hAnsi="Palatino Linotype" w:cs="Times New Roman"/>
                <w:color w:val="656565"/>
                <w:sz w:val="23"/>
                <w:szCs w:val="23"/>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 xml:space="preserve">Кроме градостроительной составляющей муниципального жилья рассмотрим композиционную составляющую. Здесь важным формирующим фактором является, как уже отмечалось выше, тип жилого дома. Остановимся на факторах, влияющих на композицию муниципального жилого дома. Принципиальное различие между коммерческим и муниципальным жильем заключается в различных подходах к процессу проектирования. </w:t>
            </w:r>
            <w:proofErr w:type="gramStart"/>
            <w:r>
              <w:rPr>
                <w:rFonts w:ascii="Palatino Linotype" w:eastAsia="Times New Roman" w:hAnsi="Palatino Linotype" w:cs="Times New Roman"/>
                <w:color w:val="000000"/>
                <w:sz w:val="20"/>
                <w:szCs w:val="20"/>
                <w:lang w:eastAsia="ru-RU"/>
              </w:rPr>
              <w:t>Если в коммерческом жилье главенствует внутренняя структура здания (проектирование ведется от планировочных структур квартир), то в муниципальном - внешняя (на планировку квартир оказывает влияние плоский фасад, лишенный пластики по экономическим соображениям).</w:t>
            </w:r>
            <w:proofErr w:type="gramEnd"/>
            <w:r>
              <w:rPr>
                <w:rFonts w:ascii="Palatino Linotype" w:eastAsia="Times New Roman" w:hAnsi="Palatino Linotype" w:cs="Times New Roman"/>
                <w:color w:val="000000"/>
                <w:sz w:val="20"/>
                <w:szCs w:val="20"/>
                <w:lang w:eastAsia="ru-RU"/>
              </w:rPr>
              <w:t xml:space="preserve"> Целесообразно в связи с этим превратить композиционный минус в плюс, сыграв на </w:t>
            </w:r>
            <w:proofErr w:type="spellStart"/>
            <w:r>
              <w:rPr>
                <w:rFonts w:ascii="Palatino Linotype" w:eastAsia="Times New Roman" w:hAnsi="Palatino Linotype" w:cs="Times New Roman"/>
                <w:color w:val="000000"/>
                <w:sz w:val="20"/>
                <w:szCs w:val="20"/>
                <w:lang w:eastAsia="ru-RU"/>
              </w:rPr>
              <w:t>минималистичной</w:t>
            </w:r>
            <w:proofErr w:type="spellEnd"/>
            <w:r>
              <w:rPr>
                <w:rFonts w:ascii="Palatino Linotype" w:eastAsia="Times New Roman" w:hAnsi="Palatino Linotype" w:cs="Times New Roman"/>
                <w:color w:val="000000"/>
                <w:sz w:val="20"/>
                <w:szCs w:val="20"/>
                <w:lang w:eastAsia="ru-RU"/>
              </w:rPr>
              <w:t xml:space="preserve"> композиции фасадов муниципальных зданий. На современном этапе малые объемы строительства муниципального жилья могут позволить более тщательную проработку композиции. Но создавать архитектуру муниципального жилья исключительно на минимальных композиционных приемах, значит возвращаться к безликости архитектуры. Архитектура муниципального жилья отражает и перерабатывает в своей архитектурно-композиционной структуре социальные и материальные характеристики среды и культуры. Таким образом, композиционная схема муниципального жилого здания формируется исходя из типологических и градостроительных факторов:</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компактная композиционная схема является либо доминантным акцентом в городской среде, либо продиктована небольшим по площади участком;</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линейная, протяженная схема используется наиболее широко в связи с тем, что здания применяются в основном многосекционного типа;</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расчлененная сложная композиционная схема наименее распространена, так как такая схема характерна для многофункциональных комплексов, а муниципальное жилье выполняет только жилую функцию;</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в жилой зоне как совокупности жилых ячеек процесс типологического моделирования представлен тремя стадиями: построение функциональных каркасов, определение нормативных показателей, модульное конструирование;</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xml:space="preserve">- в 90-х годах прошлого столетия начали формироваться современные стандарты комфортности жилья. Проектно-планировочные параметры в условиях функционирования рынка приближались к некоторому рациональному уровню. В массовом жилье это по-прежнему панельные многосекционные 16-22 дома и дома-башни, строящиеся по типовым проектам, исключающим возможность индивидуальной перепланировки. Показательна статистика выбора оптимального числа квартир в новом доме. Почти половина опрошенных (44%) желает жить в доме с количеством квартир от 50 до 100. Около трети респондентов (28%) предпочитает еще меньшие дома - на 20-50 квартир и 8% хотело бы иметь в доме до 20 квартир. Лишь 13% людей </w:t>
            </w:r>
            <w:proofErr w:type="gramStart"/>
            <w:r>
              <w:rPr>
                <w:rFonts w:ascii="Palatino Linotype" w:eastAsia="Times New Roman" w:hAnsi="Palatino Linotype" w:cs="Times New Roman"/>
                <w:color w:val="242424"/>
                <w:sz w:val="20"/>
                <w:szCs w:val="20"/>
                <w:lang w:eastAsia="ru-RU"/>
              </w:rPr>
              <w:t>согласны</w:t>
            </w:r>
            <w:proofErr w:type="gramEnd"/>
            <w:r>
              <w:rPr>
                <w:rFonts w:ascii="Palatino Linotype" w:eastAsia="Times New Roman" w:hAnsi="Palatino Linotype" w:cs="Times New Roman"/>
                <w:color w:val="242424"/>
                <w:sz w:val="20"/>
                <w:szCs w:val="20"/>
                <w:lang w:eastAsia="ru-RU"/>
              </w:rPr>
              <w:t xml:space="preserve"> жить в домах с числом квартир более 100. Эти цифры не соответствуют структуре нового жилья по числу квартир в доме: в большинстве </w:t>
            </w:r>
            <w:r>
              <w:rPr>
                <w:rFonts w:ascii="Palatino Linotype" w:eastAsia="Times New Roman" w:hAnsi="Palatino Linotype" w:cs="Times New Roman"/>
                <w:color w:val="242424"/>
                <w:sz w:val="20"/>
                <w:szCs w:val="20"/>
                <w:lang w:eastAsia="ru-RU"/>
              </w:rPr>
              <w:lastRenderedPageBreak/>
              <w:t>строящихся домов и комплексов количество квартир превышает 100;</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xml:space="preserve">- в европейском варианте этажность муниципальных жилых домов постепенно снижается. Этот факт указывает на психологические аспекты (комфортность) проектирования жилья за рубежом. Самой популярной этажностью жилых домов (46%) по </w:t>
            </w:r>
            <w:proofErr w:type="gramStart"/>
            <w:r>
              <w:rPr>
                <w:rFonts w:ascii="Palatino Linotype" w:eastAsia="Times New Roman" w:hAnsi="Palatino Linotype" w:cs="Times New Roman"/>
                <w:color w:val="242424"/>
                <w:sz w:val="20"/>
                <w:szCs w:val="20"/>
                <w:lang w:eastAsia="ru-RU"/>
              </w:rPr>
              <w:t>статистическим данным, проведенным в Москве стала</w:t>
            </w:r>
            <w:proofErr w:type="gramEnd"/>
            <w:r>
              <w:rPr>
                <w:rFonts w:ascii="Palatino Linotype" w:eastAsia="Times New Roman" w:hAnsi="Palatino Linotype" w:cs="Times New Roman"/>
                <w:color w:val="242424"/>
                <w:sz w:val="20"/>
                <w:szCs w:val="20"/>
                <w:lang w:eastAsia="ru-RU"/>
              </w:rPr>
              <w:t xml:space="preserve"> высота в 8-14 этажей. Более низкую этажность предпочитают около 30%. 21% - это «реалисты», ориентированные на самые массовые сегодня 15-24-этажные дома. И меньше 3% </w:t>
            </w:r>
            <w:proofErr w:type="gramStart"/>
            <w:r>
              <w:rPr>
                <w:rFonts w:ascii="Palatino Linotype" w:eastAsia="Times New Roman" w:hAnsi="Palatino Linotype" w:cs="Times New Roman"/>
                <w:color w:val="242424"/>
                <w:sz w:val="20"/>
                <w:szCs w:val="20"/>
                <w:lang w:eastAsia="ru-RU"/>
              </w:rPr>
              <w:t>согласны</w:t>
            </w:r>
            <w:proofErr w:type="gramEnd"/>
            <w:r>
              <w:rPr>
                <w:rFonts w:ascii="Palatino Linotype" w:eastAsia="Times New Roman" w:hAnsi="Palatino Linotype" w:cs="Times New Roman"/>
                <w:color w:val="242424"/>
                <w:sz w:val="20"/>
                <w:szCs w:val="20"/>
                <w:lang w:eastAsia="ru-RU"/>
              </w:rPr>
              <w:t xml:space="preserve"> жить в более высотных зданиях. Таким образом, смелые фантазии московских градостроителей по поводу не менее 60 современных жилых небоскребов не подкрепляются никакой статистикой, не говоря уже о здравом смысле и мировых тенденциях строительства жилья в развитых странах;</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каждая из композиционных схем должна быть представлена в городской застройке. Перспективы развития должны охватывать не только традиционные композиционные схемы, но и возможность включения муниципального жилья в многофункциональные комплексы.</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Социальные аспекты развития архитектуры муниципального жилья также должны быть расширены:</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обеспечение широкого диапазона доступности жилья;</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создание полностью интегрированной общины жильцов, в которой все равны, независимо от типа занимаемого жилья, его комфортабельности или расположения, получаемого дохода, социального статуса, пола, расы, этнической принадлежности, исповедуемой религии;</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доступность домов в исторической части города для людей с разными доходами (уменьшение опасности существующего социального неравенства в архитектурно-градостроительном плане).</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 xml:space="preserve">Таким образом, рассмотрев в ходе исследования типологические аспекты </w:t>
            </w:r>
            <w:proofErr w:type="spellStart"/>
            <w:r>
              <w:rPr>
                <w:rFonts w:ascii="Palatino Linotype" w:eastAsia="Times New Roman" w:hAnsi="Palatino Linotype" w:cs="Times New Roman"/>
                <w:color w:val="000000"/>
                <w:sz w:val="20"/>
                <w:szCs w:val="20"/>
                <w:lang w:eastAsia="ru-RU"/>
              </w:rPr>
              <w:t>формированияархитектуры</w:t>
            </w:r>
            <w:proofErr w:type="spellEnd"/>
            <w:r>
              <w:rPr>
                <w:rFonts w:ascii="Palatino Linotype" w:eastAsia="Times New Roman" w:hAnsi="Palatino Linotype" w:cs="Times New Roman"/>
                <w:color w:val="000000"/>
                <w:sz w:val="20"/>
                <w:szCs w:val="20"/>
                <w:lang w:eastAsia="ru-RU"/>
              </w:rPr>
              <w:t xml:space="preserve"> муниципального жилья, выделим принципы их взаимодействия:</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Любая классификация преследует как минимум две цели: первая - попытка упорядочить и разобраться в хаотической, на первый взгляд, ситуации на рынке первичного жилья, и вторая, более важная цель - выявить нарастающие тенденции и использовать их понимание в практической деятельности.</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r>
              <w:rPr>
                <w:rFonts w:ascii="Palatino Linotype" w:eastAsia="Times New Roman" w:hAnsi="Palatino Linotype" w:cs="Times New Roman"/>
                <w:color w:val="000000"/>
                <w:sz w:val="20"/>
                <w:szCs w:val="20"/>
                <w:lang w:eastAsia="ru-RU"/>
              </w:rPr>
              <w:t>Доминирующими тенденциями спроса на жилые новостройки можно считать его все более четкое расслоение на несколько главных направлений:</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Самое массовое и постоянно востребованное дешевое жилье с применением новых технологий и созданием нового стандарта проживания.</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Жилье с качественно новыми параметрами, соответствующее реальным тенденциям развития жилищных потребностей и обеспечивающее новое качество проживания при рациональных финансовых затратах.</w:t>
            </w:r>
          </w:p>
          <w:p w:rsidR="00DB6233" w:rsidRDefault="00DB6233" w:rsidP="007C07AF">
            <w:pPr>
              <w:numPr>
                <w:ilvl w:val="2"/>
                <w:numId w:val="1"/>
              </w:numPr>
              <w:spacing w:before="100" w:beforeAutospacing="1" w:after="100" w:afterAutospacing="1" w:line="225" w:lineRule="atLeast"/>
              <w:ind w:left="300" w:firstLine="225"/>
              <w:jc w:val="both"/>
              <w:rPr>
                <w:rFonts w:ascii="Palatino Linotype" w:eastAsia="Times New Roman" w:hAnsi="Palatino Linotype" w:cs="Times New Roman"/>
                <w:color w:val="242424"/>
                <w:sz w:val="20"/>
                <w:szCs w:val="20"/>
                <w:lang w:eastAsia="ru-RU"/>
              </w:rPr>
            </w:pPr>
            <w:r>
              <w:rPr>
                <w:rFonts w:ascii="Palatino Linotype" w:eastAsia="Times New Roman" w:hAnsi="Palatino Linotype" w:cs="Times New Roman"/>
                <w:color w:val="242424"/>
                <w:sz w:val="20"/>
                <w:szCs w:val="20"/>
                <w:lang w:eastAsia="ru-RU"/>
              </w:rPr>
              <w:t>- Жилище самого высокого качества для наиболее обеспеченной прослойки общества, не уступающее лучшим зарубежным образцам.</w:t>
            </w:r>
          </w:p>
          <w:p w:rsidR="00DB6233" w:rsidRDefault="00DB6233">
            <w:pPr>
              <w:spacing w:before="100" w:beforeAutospacing="1" w:after="100" w:afterAutospacing="1" w:line="240" w:lineRule="auto"/>
              <w:ind w:firstLine="225"/>
              <w:jc w:val="both"/>
              <w:rPr>
                <w:rFonts w:ascii="Palatino Linotype" w:eastAsia="Times New Roman" w:hAnsi="Palatino Linotype" w:cs="Times New Roman"/>
                <w:color w:val="000000"/>
                <w:sz w:val="20"/>
                <w:szCs w:val="20"/>
                <w:lang w:eastAsia="ru-RU"/>
              </w:rPr>
            </w:pPr>
            <w:proofErr w:type="gramStart"/>
            <w:r>
              <w:rPr>
                <w:rFonts w:ascii="Palatino Linotype" w:eastAsia="Times New Roman" w:hAnsi="Palatino Linotype" w:cs="Times New Roman"/>
                <w:color w:val="000000"/>
                <w:sz w:val="20"/>
                <w:szCs w:val="20"/>
                <w:lang w:eastAsia="ru-RU"/>
              </w:rPr>
              <w:t>Этим основным группам требований, ближе всего соответствуют (точнее - должны соответствовать) категории «дешевого монолита», «статусного жилья» и так называемого «элитного».</w:t>
            </w:r>
            <w:proofErr w:type="gramEnd"/>
            <w:r>
              <w:rPr>
                <w:rFonts w:ascii="Palatino Linotype" w:eastAsia="Times New Roman" w:hAnsi="Palatino Linotype" w:cs="Times New Roman"/>
                <w:color w:val="000000"/>
                <w:sz w:val="20"/>
                <w:szCs w:val="20"/>
                <w:lang w:eastAsia="ru-RU"/>
              </w:rPr>
              <w:t xml:space="preserve"> Притом, что в сегодняшней практике мы вряд ли найдем хоть один пример, полностью соответствующий всей совокупности потребительских требований по любому из названных типов.</w:t>
            </w:r>
          </w:p>
        </w:tc>
      </w:tr>
    </w:tbl>
    <w:p w:rsidR="00DB6233" w:rsidRDefault="00DB6233" w:rsidP="00DB6233">
      <w:r>
        <w:lastRenderedPageBreak/>
        <w:t xml:space="preserve"> </w:t>
      </w:r>
    </w:p>
    <w:p w:rsidR="00580145" w:rsidRDefault="00DB6233">
      <w:r>
        <w:t xml:space="preserve"> </w:t>
      </w:r>
    </w:p>
    <w:sectPr w:rsidR="00580145"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841BB2"/>
    <w:multiLevelType w:val="multilevel"/>
    <w:tmpl w:val="4B60F7D2"/>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B6233"/>
    <w:rsid w:val="003C4624"/>
    <w:rsid w:val="00435376"/>
    <w:rsid w:val="00497F8F"/>
    <w:rsid w:val="005509AE"/>
    <w:rsid w:val="00DB6233"/>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62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1586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1508</Words>
  <Characters>8600</Characters>
  <Application>Microsoft Office Word</Application>
  <DocSecurity>0</DocSecurity>
  <Lines>71</Lines>
  <Paragraphs>20</Paragraphs>
  <ScaleCrop>false</ScaleCrop>
  <Company>Microsoft</Company>
  <LinksUpToDate>false</LinksUpToDate>
  <CharactersWithSpaces>10088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2020-03-25T07:37:00Z</dcterms:created>
  <dcterms:modified xsi:type="dcterms:W3CDTF">2020-03-25T07:37:00Z</dcterms:modified>
</cp:coreProperties>
</file>