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CEB" w:rsidRPr="00951CEB" w:rsidRDefault="00951CEB" w:rsidP="00951CEB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 w:rsidRPr="00951CEB">
        <w:rPr>
          <w:rFonts w:ascii="Times New Roman" w:hAnsi="Times New Roman" w:cs="Times New Roman"/>
          <w:bCs/>
          <w:iCs/>
          <w:sz w:val="28"/>
          <w:szCs w:val="28"/>
        </w:rPr>
        <w:t>ЭТАЛОНЫ ЕДИНИЦ ВЕЛИЧИН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951CEB">
        <w:rPr>
          <w:rFonts w:ascii="Times New Roman" w:hAnsi="Times New Roman" w:cs="Times New Roman"/>
          <w:bCs/>
          <w:sz w:val="28"/>
          <w:szCs w:val="28"/>
        </w:rPr>
        <w:t xml:space="preserve">Эталон единицы величины </w:t>
      </w:r>
      <w:r w:rsidRPr="00951CEB">
        <w:rPr>
          <w:rFonts w:ascii="Times New Roman" w:hAnsi="Times New Roman" w:cs="Times New Roman"/>
          <w:sz w:val="28"/>
          <w:szCs w:val="28"/>
        </w:rPr>
        <w:t>- средство измерений, предназна</w:t>
      </w:r>
      <w:r w:rsidRPr="00951CEB">
        <w:rPr>
          <w:rFonts w:ascii="Times New Roman" w:hAnsi="Times New Roman" w:cs="Times New Roman"/>
          <w:spacing w:val="-5"/>
          <w:sz w:val="28"/>
          <w:szCs w:val="28"/>
        </w:rPr>
        <w:t xml:space="preserve">ченное для воспроизведения и (или) хранения единицы величины </w:t>
      </w:r>
      <w:r w:rsidRPr="00951CEB">
        <w:rPr>
          <w:rFonts w:ascii="Times New Roman" w:hAnsi="Times New Roman" w:cs="Times New Roman"/>
          <w:sz w:val="28"/>
          <w:szCs w:val="28"/>
        </w:rPr>
        <w:t xml:space="preserve">(кратных либо дольных значений единицы величины) с целью </w:t>
      </w:r>
      <w:r w:rsidRPr="00951CEB">
        <w:rPr>
          <w:rFonts w:ascii="Times New Roman" w:hAnsi="Times New Roman" w:cs="Times New Roman"/>
          <w:spacing w:val="-8"/>
          <w:sz w:val="28"/>
          <w:szCs w:val="28"/>
        </w:rPr>
        <w:t xml:space="preserve">передачи ее размера другим средствам измерений данной величины, </w:t>
      </w:r>
      <w:r w:rsidRPr="00951CEB">
        <w:rPr>
          <w:rFonts w:ascii="Times New Roman" w:hAnsi="Times New Roman" w:cs="Times New Roman"/>
          <w:spacing w:val="-7"/>
          <w:sz w:val="28"/>
          <w:szCs w:val="28"/>
        </w:rPr>
        <w:t xml:space="preserve">утвержденное в порядке, установленном уполномоченным органом </w:t>
      </w:r>
      <w:r w:rsidRPr="00951CEB">
        <w:rPr>
          <w:rFonts w:ascii="Times New Roman" w:hAnsi="Times New Roman" w:cs="Times New Roman"/>
          <w:spacing w:val="-3"/>
          <w:sz w:val="28"/>
          <w:szCs w:val="28"/>
        </w:rPr>
        <w:t>по стандартизации, метрологии и сертификации.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pacing w:val="-4"/>
          <w:sz w:val="28"/>
          <w:szCs w:val="28"/>
        </w:rPr>
        <w:t>Для обеспечения единства измерений необходимо точное вос</w:t>
      </w:r>
      <w:r w:rsidRPr="00951CEB">
        <w:rPr>
          <w:rFonts w:ascii="Times New Roman" w:hAnsi="Times New Roman" w:cs="Times New Roman"/>
          <w:spacing w:val="-7"/>
          <w:sz w:val="28"/>
          <w:szCs w:val="28"/>
        </w:rPr>
        <w:t xml:space="preserve">произведение, хранение установленных единиц величин и передача </w:t>
      </w:r>
      <w:r w:rsidRPr="00951CEB">
        <w:rPr>
          <w:rFonts w:ascii="Times New Roman" w:hAnsi="Times New Roman" w:cs="Times New Roman"/>
          <w:spacing w:val="-2"/>
          <w:sz w:val="28"/>
          <w:szCs w:val="28"/>
        </w:rPr>
        <w:t xml:space="preserve">их размера средствам измерений, находящихся в применении в </w:t>
      </w:r>
      <w:r w:rsidRPr="00951CEB">
        <w:rPr>
          <w:rFonts w:ascii="Times New Roman" w:hAnsi="Times New Roman" w:cs="Times New Roman"/>
          <w:spacing w:val="-3"/>
          <w:sz w:val="28"/>
          <w:szCs w:val="28"/>
        </w:rPr>
        <w:t>различных отраслях народного хозяйства.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pacing w:val="-3"/>
          <w:sz w:val="28"/>
          <w:szCs w:val="28"/>
        </w:rPr>
        <w:t>Размер единиц воспроизводится, хранится и передается с по</w:t>
      </w:r>
      <w:r w:rsidRPr="00951CEB">
        <w:rPr>
          <w:rFonts w:ascii="Times New Roman" w:hAnsi="Times New Roman" w:cs="Times New Roman"/>
          <w:spacing w:val="-4"/>
          <w:sz w:val="28"/>
          <w:szCs w:val="28"/>
        </w:rPr>
        <w:t>мощью эталонов.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z w:val="28"/>
          <w:szCs w:val="28"/>
        </w:rPr>
        <w:t>Классификация эталонов приведена на рисунке 1.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bCs/>
          <w:sz w:val="28"/>
          <w:szCs w:val="28"/>
        </w:rPr>
        <w:t xml:space="preserve">По </w:t>
      </w:r>
      <w:r w:rsidRPr="00951CEB">
        <w:rPr>
          <w:rFonts w:ascii="Times New Roman" w:hAnsi="Times New Roman" w:cs="Times New Roman"/>
          <w:bCs/>
          <w:iCs/>
          <w:sz w:val="28"/>
          <w:szCs w:val="28"/>
        </w:rPr>
        <w:t xml:space="preserve">международной </w:t>
      </w:r>
      <w:r w:rsidRPr="00951CEB"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Pr="00951CEB">
        <w:rPr>
          <w:rFonts w:ascii="Times New Roman" w:hAnsi="Times New Roman" w:cs="Times New Roman"/>
          <w:bCs/>
          <w:iCs/>
          <w:sz w:val="28"/>
          <w:szCs w:val="28"/>
        </w:rPr>
        <w:t xml:space="preserve">национальной принадлежности </w:t>
      </w:r>
      <w:r w:rsidRPr="00951CEB">
        <w:rPr>
          <w:rFonts w:ascii="Times New Roman" w:hAnsi="Times New Roman" w:cs="Times New Roman"/>
          <w:sz w:val="28"/>
          <w:szCs w:val="28"/>
        </w:rPr>
        <w:t xml:space="preserve">эталоны </w:t>
      </w:r>
      <w:r w:rsidRPr="00951CEB">
        <w:rPr>
          <w:rFonts w:ascii="Times New Roman" w:hAnsi="Times New Roman" w:cs="Times New Roman"/>
          <w:spacing w:val="-4"/>
          <w:sz w:val="28"/>
          <w:szCs w:val="28"/>
        </w:rPr>
        <w:t>подразделяют на международные, межгосударственные и национальные эталоны.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iCs/>
          <w:sz w:val="28"/>
          <w:szCs w:val="28"/>
        </w:rPr>
        <w:t xml:space="preserve">Международный эталон </w:t>
      </w:r>
      <w:r w:rsidRPr="00951CEB">
        <w:rPr>
          <w:rFonts w:ascii="Times New Roman" w:hAnsi="Times New Roman" w:cs="Times New Roman"/>
          <w:sz w:val="28"/>
          <w:szCs w:val="28"/>
        </w:rPr>
        <w:t xml:space="preserve">- эталон, принятый по международному </w:t>
      </w:r>
      <w:r w:rsidRPr="00951CEB">
        <w:rPr>
          <w:rFonts w:ascii="Times New Roman" w:hAnsi="Times New Roman" w:cs="Times New Roman"/>
          <w:spacing w:val="-6"/>
          <w:sz w:val="28"/>
          <w:szCs w:val="28"/>
        </w:rPr>
        <w:t xml:space="preserve">соглашению в качестве международной основы сличения с ним по </w:t>
      </w:r>
      <w:r w:rsidRPr="00951CEB">
        <w:rPr>
          <w:rFonts w:ascii="Times New Roman" w:hAnsi="Times New Roman" w:cs="Times New Roman"/>
          <w:spacing w:val="-3"/>
          <w:sz w:val="28"/>
          <w:szCs w:val="28"/>
        </w:rPr>
        <w:t>размеру единиц национальных эталонов.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pacing w:val="-6"/>
          <w:sz w:val="28"/>
          <w:szCs w:val="28"/>
        </w:rPr>
        <w:t>Международные эталоны хранит и поддерживает Международ</w:t>
      </w:r>
      <w:r w:rsidRPr="00951CEB">
        <w:rPr>
          <w:rFonts w:ascii="Times New Roman" w:hAnsi="Times New Roman" w:cs="Times New Roman"/>
          <w:spacing w:val="-4"/>
          <w:sz w:val="28"/>
          <w:szCs w:val="28"/>
        </w:rPr>
        <w:t xml:space="preserve">ное бюро мер и весов (МБМВ). Важнейшая задача деятельности </w:t>
      </w:r>
      <w:r w:rsidRPr="00951CEB">
        <w:rPr>
          <w:rFonts w:ascii="Times New Roman" w:hAnsi="Times New Roman" w:cs="Times New Roman"/>
          <w:spacing w:val="-6"/>
          <w:sz w:val="28"/>
          <w:szCs w:val="28"/>
        </w:rPr>
        <w:t>МБМВ состоит в систематических международных сличениях на</w:t>
      </w:r>
      <w:r w:rsidRPr="00951CEB">
        <w:rPr>
          <w:rFonts w:ascii="Times New Roman" w:hAnsi="Times New Roman" w:cs="Times New Roman"/>
          <w:spacing w:val="-4"/>
          <w:sz w:val="28"/>
          <w:szCs w:val="28"/>
        </w:rPr>
        <w:t xml:space="preserve">циональных эталонов крупнейших метрологических лабораторий </w:t>
      </w:r>
      <w:r w:rsidRPr="00951CEB">
        <w:rPr>
          <w:rFonts w:ascii="Times New Roman" w:hAnsi="Times New Roman" w:cs="Times New Roman"/>
          <w:spacing w:val="-9"/>
          <w:sz w:val="28"/>
          <w:szCs w:val="28"/>
        </w:rPr>
        <w:t xml:space="preserve">разных стран с международными эталонами, а также и между собой, </w:t>
      </w:r>
      <w:r w:rsidRPr="00951CEB">
        <w:rPr>
          <w:rFonts w:ascii="Times New Roman" w:hAnsi="Times New Roman" w:cs="Times New Roman"/>
          <w:spacing w:val="-5"/>
          <w:sz w:val="28"/>
          <w:szCs w:val="28"/>
        </w:rPr>
        <w:t>что необходимо для обеспечения достоверности, точности и единства измерений как одного из условий международных экономи</w:t>
      </w:r>
      <w:r w:rsidRPr="00951CEB">
        <w:rPr>
          <w:rFonts w:ascii="Times New Roman" w:hAnsi="Times New Roman" w:cs="Times New Roman"/>
          <w:spacing w:val="-6"/>
          <w:sz w:val="28"/>
          <w:szCs w:val="28"/>
        </w:rPr>
        <w:t xml:space="preserve">ческих связей. Сличению подлежат как эталоны основных величин </w:t>
      </w:r>
      <w:r w:rsidRPr="00951CEB">
        <w:rPr>
          <w:rFonts w:ascii="Times New Roman" w:hAnsi="Times New Roman" w:cs="Times New Roman"/>
          <w:spacing w:val="-8"/>
          <w:sz w:val="28"/>
          <w:szCs w:val="28"/>
        </w:rPr>
        <w:t>системы СИ, так и производных. Установлены определенные перио</w:t>
      </w:r>
      <w:r w:rsidRPr="00951CEB">
        <w:rPr>
          <w:rFonts w:ascii="Times New Roman" w:hAnsi="Times New Roman" w:cs="Times New Roman"/>
          <w:spacing w:val="-7"/>
          <w:sz w:val="28"/>
          <w:szCs w:val="28"/>
        </w:rPr>
        <w:t>ды сличения. Например, эталоны метра и килограмма сличают каж</w:t>
      </w:r>
      <w:r w:rsidRPr="00951CEB">
        <w:rPr>
          <w:rFonts w:ascii="Times New Roman" w:hAnsi="Times New Roman" w:cs="Times New Roman"/>
          <w:sz w:val="28"/>
          <w:szCs w:val="28"/>
        </w:rPr>
        <w:t>дые 25 лет, а электрические и световые эталоны - один раз в 3 года.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1CEB" w:rsidRPr="00951CEB" w:rsidRDefault="00951CEB" w:rsidP="00951CE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51CEB">
        <w:rPr>
          <w:rFonts w:ascii="Times New Roman" w:hAnsi="Times New Roman" w:cs="Times New Roman"/>
          <w:noProof/>
          <w:color w:val="000000"/>
          <w:sz w:val="28"/>
          <w:szCs w:val="28"/>
        </w:rPr>
      </w:r>
      <w:r w:rsidRPr="00951CEB">
        <w:rPr>
          <w:rFonts w:ascii="Times New Roman" w:hAnsi="Times New Roman" w:cs="Times New Roman"/>
          <w:color w:val="000000"/>
          <w:sz w:val="28"/>
          <w:szCs w:val="28"/>
        </w:rPr>
        <w:pict>
          <v:group id="_x0000_s1026" editas="canvas" style="width:7in;height:486pt;mso-position-horizontal-relative:char;mso-position-vertical-relative:line" coordorigin="647,1778" coordsize="10080,97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647;top:1778;width:10080;height:9720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4247;top:1958;width:2088;height:900">
              <v:textbox style="mso-next-textbox:#_x0000_s1028">
                <w:txbxContent>
                  <w:p w:rsidR="00951CEB" w:rsidRPr="00B24A52" w:rsidRDefault="00951CEB" w:rsidP="00951CEB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>по ТОЧНОСТИ</w:t>
                    </w:r>
                  </w:p>
                </w:txbxContent>
              </v:textbox>
            </v:shape>
            <v:shape id="_x0000_s1029" type="#_x0000_t202" style="position:absolute;left:1139;top:3578;width:2052;height:900">
              <v:textbox style="mso-next-textbox:#_x0000_s1029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Исходные эталоны</w:t>
                    </w:r>
                  </w:p>
                </w:txbxContent>
              </v:textbox>
            </v:shape>
            <v:shape id="_x0000_s1030" type="#_x0000_t202" style="position:absolute;left:1079;top:5018;width:2160;height:1080">
              <v:textbox style="mso-next-textbox:#_x0000_s1030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Подчиненные эталоны</w:t>
                    </w:r>
                  </w:p>
                </w:txbxContent>
              </v:textbox>
            </v:shape>
            <v:shape id="_x0000_s1031" type="#_x0000_t202" style="position:absolute;left:4127;top:7538;width:2340;height:540">
              <v:textbox style="mso-next-textbox:#_x0000_s1031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0 – го разряда</w:t>
                    </w:r>
                    <w:r w:rsidRPr="004367B6">
                      <w:rPr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shape>
            <v:shape id="_x0000_s1032" type="#_x0000_t202" style="position:absolute;left:4139;top:8438;width:2268;height:540">
              <v:textbox style="mso-next-textbox:#_x0000_s1032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1 – го разряда</w:t>
                    </w:r>
                  </w:p>
                </w:txbxContent>
              </v:textbox>
            </v:shape>
            <v:shape id="_x0000_s1033" type="#_x0000_t202" style="position:absolute;left:4019;top:3578;width:2340;height:900">
              <v:textbox style="mso-next-textbox:#_x0000_s1033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Первичные эталоны (ГПЭ)</w:t>
                    </w:r>
                  </w:p>
                </w:txbxContent>
              </v:textbox>
            </v:shape>
            <v:shape id="_x0000_s1034" type="#_x0000_t202" style="position:absolute;left:3947;top:5018;width:2772;height:900">
              <v:textbox style="mso-next-textbox:#_x0000_s1034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Вторичные эталоны (ГВЭ)</w:t>
                    </w:r>
                  </w:p>
                </w:txbxContent>
              </v:textbox>
            </v:shape>
            <v:shape id="_x0000_s1035" type="#_x0000_t202" style="position:absolute;left:4127;top:6458;width:2340;height:540">
              <v:textbox style="mso-next-textbox:#_x0000_s1035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Рабочие эталоны</w:t>
                    </w:r>
                  </w:p>
                </w:txbxContent>
              </v:textbox>
            </v:shape>
            <v:shape id="_x0000_s1036" type="#_x0000_t202" style="position:absolute;left:4127;top:9338;width:2295;height:540">
              <v:textbox style="mso-next-textbox:#_x0000_s1036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2 – го разряда</w:t>
                    </w:r>
                  </w:p>
                </w:txbxContent>
              </v:textbox>
            </v:shape>
            <v:shape id="_x0000_s1037" type="#_x0000_t202" style="position:absolute;left:7259;top:3578;width:2628;height:900">
              <v:textbox style="mso-next-textbox:#_x0000_s1037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Государственные эталоны </w:t>
                    </w:r>
                  </w:p>
                </w:txbxContent>
              </v:textbox>
            </v:shape>
            <v:shape id="_x0000_s1038" type="#_x0000_t202" style="position:absolute;left:7367;top:5018;width:2553;height:1080">
              <v:textbox style="mso-next-textbox:#_x0000_s1038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Эталоны метрологических служб</w:t>
                    </w:r>
                  </w:p>
                </w:txbxContent>
              </v:textbox>
            </v:shape>
            <v:shape id="_x0000_s1039" type="#_x0000_t202" style="position:absolute;left:6767;top:1958;width:3240;height:900">
              <v:textbox style="mso-next-textbox:#_x0000_s1039">
                <w:txbxContent>
                  <w:p w:rsidR="00951CEB" w:rsidRDefault="00951CEB" w:rsidP="00951CEB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 xml:space="preserve">по </w:t>
                    </w:r>
                  </w:p>
                  <w:p w:rsidR="00951CEB" w:rsidRPr="00B24A52" w:rsidRDefault="00951CEB" w:rsidP="00951CEB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>ПРИНАДЛЕЖНОСТИ</w:t>
                    </w:r>
                  </w:p>
                </w:txbxContent>
              </v:textbox>
            </v:shape>
            <v:shape id="_x0000_s1040" type="#_x0000_t202" style="position:absolute;left:827;top:1958;width:3064;height:1080">
              <v:textbox style="mso-next-textbox:#_x0000_s1040">
                <w:txbxContent>
                  <w:p w:rsidR="00951CEB" w:rsidRDefault="00951CEB" w:rsidP="00951CEB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 xml:space="preserve">по </w:t>
                    </w:r>
                  </w:p>
                  <w:p w:rsidR="00951CEB" w:rsidRPr="00B24A52" w:rsidRDefault="00951CEB" w:rsidP="00951CEB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>ХАРАКТЕРУ ЭКСПЛУАТАЦИИ</w:t>
                    </w:r>
                  </w:p>
                </w:txbxContent>
              </v:textbox>
            </v:shape>
            <v:shape id="_x0000_s1041" type="#_x0000_t202" style="position:absolute;left:4179;top:10418;width:2168;height:540">
              <v:textbox style="mso-next-textbox:#_x0000_s1041">
                <w:txbxContent>
                  <w:p w:rsidR="00951CEB" w:rsidRPr="004367B6" w:rsidRDefault="00951CEB" w:rsidP="00951CEB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Рабочие СИ</w:t>
                    </w:r>
                  </w:p>
                </w:txbxContent>
              </v:textbox>
            </v:shape>
            <v:line id="_x0000_s1042" style="position:absolute" from="2087,3038" to="2087,3578">
              <v:stroke endarrow="block"/>
            </v:line>
            <v:line id="_x0000_s1043" style="position:absolute" from="2087,4478" to="2087,5018">
              <v:stroke endarrow="block"/>
            </v:line>
            <v:line id="_x0000_s1044" style="position:absolute" from="5147,2858" to="5147,3578">
              <v:stroke endarrow="block"/>
            </v:line>
            <v:line id="_x0000_s1045" style="position:absolute" from="5147,4478" to="5147,5018">
              <v:stroke endarrow="block"/>
            </v:line>
            <v:line id="_x0000_s1046" style="position:absolute" from="8567,2858" to="8567,3578">
              <v:stroke endarrow="block"/>
            </v:line>
            <v:line id="_x0000_s1047" style="position:absolute" from="8567,4478" to="8567,5018">
              <v:stroke endarrow="block"/>
            </v:line>
            <v:line id="_x0000_s1048" style="position:absolute" from="5147,5918" to="5147,6458">
              <v:stroke endarrow="block"/>
            </v:line>
            <v:line id="_x0000_s1049" style="position:absolute" from="5147,6998" to="5147,7538">
              <v:stroke endarrow="block"/>
            </v:line>
            <v:line id="_x0000_s1050" style="position:absolute" from="5147,8078" to="5147,8438">
              <v:stroke endarrow="block"/>
            </v:line>
            <v:line id="_x0000_s1051" style="position:absolute" from="5147,8978" to="5147,9338">
              <v:stroke endarrow="block"/>
            </v:line>
            <v:line id="_x0000_s1052" style="position:absolute" from="5147,9878" to="5147,10418">
              <v:stroke endarrow="block"/>
            </v:line>
            <w10:wrap type="none"/>
            <w10:anchorlock/>
          </v:group>
        </w:pict>
      </w:r>
    </w:p>
    <w:p w:rsidR="00951CEB" w:rsidRPr="00951CEB" w:rsidRDefault="00951CEB" w:rsidP="00951CE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51CEB" w:rsidRPr="00951CEB" w:rsidRDefault="00951CEB" w:rsidP="00951CE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51CEB">
        <w:rPr>
          <w:rFonts w:ascii="Times New Roman" w:hAnsi="Times New Roman" w:cs="Times New Roman"/>
          <w:color w:val="000000"/>
          <w:sz w:val="28"/>
          <w:szCs w:val="28"/>
        </w:rPr>
        <w:t>Рисунок 1 - Эталоны единиц величин. Классификация эталонов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z w:val="28"/>
          <w:szCs w:val="28"/>
        </w:rPr>
        <w:br w:type="page"/>
      </w:r>
      <w:r w:rsidRPr="00951CEB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Межгосударственный эталон - </w:t>
      </w:r>
      <w:r w:rsidRPr="00951CEB">
        <w:rPr>
          <w:rFonts w:ascii="Times New Roman" w:hAnsi="Times New Roman" w:cs="Times New Roman"/>
          <w:sz w:val="28"/>
          <w:szCs w:val="28"/>
        </w:rPr>
        <w:t xml:space="preserve">межгосударственный эталон </w:t>
      </w:r>
      <w:r w:rsidRPr="00951CEB">
        <w:rPr>
          <w:rFonts w:ascii="Times New Roman" w:hAnsi="Times New Roman" w:cs="Times New Roman"/>
          <w:spacing w:val="-3"/>
          <w:sz w:val="28"/>
          <w:szCs w:val="28"/>
        </w:rPr>
        <w:t xml:space="preserve">СНГ, утвержденный в установленном порядке, обеспечивающий </w:t>
      </w:r>
      <w:r w:rsidRPr="00951CEB">
        <w:rPr>
          <w:rFonts w:ascii="Times New Roman" w:hAnsi="Times New Roman" w:cs="Times New Roman"/>
          <w:sz w:val="28"/>
          <w:szCs w:val="28"/>
        </w:rPr>
        <w:t xml:space="preserve">воспроизведение и хранение единицы физической величины с </w:t>
      </w:r>
      <w:r w:rsidRPr="00951CEB">
        <w:rPr>
          <w:rFonts w:ascii="Times New Roman" w:hAnsi="Times New Roman" w:cs="Times New Roman"/>
          <w:spacing w:val="-2"/>
          <w:sz w:val="28"/>
          <w:szCs w:val="28"/>
        </w:rPr>
        <w:t xml:space="preserve">точностью, удовлетворяющей потребностям стран-членов СНГ, </w:t>
      </w:r>
      <w:r w:rsidRPr="00951CEB">
        <w:rPr>
          <w:rFonts w:ascii="Times New Roman" w:hAnsi="Times New Roman" w:cs="Times New Roman"/>
          <w:spacing w:val="-6"/>
          <w:sz w:val="28"/>
          <w:szCs w:val="28"/>
        </w:rPr>
        <w:t xml:space="preserve">предназначенный и применяемый для передачи размеров единицы </w:t>
      </w:r>
      <w:r w:rsidRPr="00951CEB">
        <w:rPr>
          <w:rFonts w:ascii="Times New Roman" w:hAnsi="Times New Roman" w:cs="Times New Roman"/>
          <w:spacing w:val="-4"/>
          <w:sz w:val="28"/>
          <w:szCs w:val="28"/>
        </w:rPr>
        <w:t>эталонам заинтересованных государств Содружества.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1CEB">
        <w:rPr>
          <w:rFonts w:ascii="Times New Roman" w:hAnsi="Times New Roman" w:cs="Times New Roman"/>
          <w:iCs/>
          <w:sz w:val="28"/>
          <w:szCs w:val="28"/>
        </w:rPr>
        <w:t xml:space="preserve">Национальный эталон - </w:t>
      </w:r>
      <w:r w:rsidRPr="00951CEB">
        <w:rPr>
          <w:rFonts w:ascii="Times New Roman" w:hAnsi="Times New Roman" w:cs="Times New Roman"/>
          <w:sz w:val="28"/>
          <w:szCs w:val="28"/>
        </w:rPr>
        <w:t xml:space="preserve">эталон, признанный официальным </w:t>
      </w:r>
      <w:r w:rsidRPr="00951CEB">
        <w:rPr>
          <w:rFonts w:ascii="Times New Roman" w:hAnsi="Times New Roman" w:cs="Times New Roman"/>
          <w:spacing w:val="-5"/>
          <w:sz w:val="28"/>
          <w:szCs w:val="28"/>
        </w:rPr>
        <w:t>решением в качестве исходного для государства.</w:t>
      </w:r>
      <w:proofErr w:type="gramEnd"/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pacing w:val="-8"/>
          <w:sz w:val="28"/>
          <w:szCs w:val="28"/>
        </w:rPr>
        <w:t xml:space="preserve">Национальная система обеспечения единства измерений в любой </w:t>
      </w:r>
      <w:r w:rsidRPr="00951CEB">
        <w:rPr>
          <w:rFonts w:ascii="Times New Roman" w:hAnsi="Times New Roman" w:cs="Times New Roman"/>
          <w:spacing w:val="4"/>
          <w:sz w:val="28"/>
          <w:szCs w:val="28"/>
        </w:rPr>
        <w:t xml:space="preserve">промышленно развитой стране основывается на принятой в </w:t>
      </w:r>
      <w:r w:rsidRPr="00951CEB">
        <w:rPr>
          <w:rFonts w:ascii="Times New Roman" w:hAnsi="Times New Roman" w:cs="Times New Roman"/>
          <w:spacing w:val="-7"/>
          <w:sz w:val="28"/>
          <w:szCs w:val="28"/>
        </w:rPr>
        <w:t xml:space="preserve">законодательном порядке национальной системе единиц измерений </w:t>
      </w:r>
      <w:r w:rsidRPr="00951CEB">
        <w:rPr>
          <w:rFonts w:ascii="Times New Roman" w:hAnsi="Times New Roman" w:cs="Times New Roman"/>
          <w:spacing w:val="-4"/>
          <w:sz w:val="28"/>
          <w:szCs w:val="28"/>
        </w:rPr>
        <w:t>и государственных (национальных) эталонах.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pacing w:val="-6"/>
          <w:sz w:val="28"/>
          <w:szCs w:val="28"/>
        </w:rPr>
        <w:t xml:space="preserve">Государственные эталоны являются национальным достоянием, </w:t>
      </w:r>
      <w:r w:rsidRPr="00951CEB">
        <w:rPr>
          <w:rFonts w:ascii="Times New Roman" w:hAnsi="Times New Roman" w:cs="Times New Roman"/>
          <w:spacing w:val="-5"/>
          <w:sz w:val="28"/>
          <w:szCs w:val="28"/>
        </w:rPr>
        <w:t>определяют уровень научного, технического и культурного развития страны.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pacing w:val="2"/>
          <w:sz w:val="28"/>
          <w:szCs w:val="28"/>
        </w:rPr>
        <w:t xml:space="preserve">Эталоны </w:t>
      </w:r>
      <w:r w:rsidRPr="00951CEB">
        <w:rPr>
          <w:rFonts w:ascii="Times New Roman" w:hAnsi="Times New Roman" w:cs="Times New Roman"/>
          <w:iCs/>
          <w:spacing w:val="2"/>
          <w:sz w:val="28"/>
          <w:szCs w:val="28"/>
        </w:rPr>
        <w:t xml:space="preserve">по подчиненности </w:t>
      </w:r>
      <w:r w:rsidRPr="00951CEB">
        <w:rPr>
          <w:rFonts w:ascii="Times New Roman" w:hAnsi="Times New Roman" w:cs="Times New Roman"/>
          <w:spacing w:val="2"/>
          <w:sz w:val="28"/>
          <w:szCs w:val="28"/>
        </w:rPr>
        <w:t xml:space="preserve">подразделяются на первичные </w:t>
      </w:r>
      <w:r w:rsidRPr="00951CEB">
        <w:rPr>
          <w:rFonts w:ascii="Times New Roman" w:hAnsi="Times New Roman" w:cs="Times New Roman"/>
          <w:spacing w:val="-4"/>
          <w:sz w:val="28"/>
          <w:szCs w:val="28"/>
        </w:rPr>
        <w:t>(исходные), вторичные и рабочие эталоны.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iCs/>
          <w:sz w:val="28"/>
          <w:szCs w:val="28"/>
        </w:rPr>
        <w:t xml:space="preserve">Первичные эталоны </w:t>
      </w:r>
      <w:r w:rsidRPr="00951CEB">
        <w:rPr>
          <w:rFonts w:ascii="Times New Roman" w:hAnsi="Times New Roman" w:cs="Times New Roman"/>
          <w:sz w:val="28"/>
          <w:szCs w:val="28"/>
        </w:rPr>
        <w:t xml:space="preserve">воспроизводят и (или) хранят единицы и </w:t>
      </w:r>
      <w:r w:rsidRPr="00951CEB">
        <w:rPr>
          <w:rFonts w:ascii="Times New Roman" w:hAnsi="Times New Roman" w:cs="Times New Roman"/>
          <w:spacing w:val="-9"/>
          <w:sz w:val="28"/>
          <w:szCs w:val="28"/>
        </w:rPr>
        <w:t xml:space="preserve">передают их размеры с наивысшей точностью, достигнутой в данной </w:t>
      </w:r>
      <w:r w:rsidRPr="00951CEB">
        <w:rPr>
          <w:rFonts w:ascii="Times New Roman" w:hAnsi="Times New Roman" w:cs="Times New Roman"/>
          <w:sz w:val="28"/>
          <w:szCs w:val="28"/>
        </w:rPr>
        <w:t>области измерений.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pacing w:val="-6"/>
          <w:sz w:val="28"/>
          <w:szCs w:val="28"/>
        </w:rPr>
        <w:t xml:space="preserve">К вторичным эталонам относят </w:t>
      </w:r>
      <w:r w:rsidRPr="00951CEB">
        <w:rPr>
          <w:rFonts w:ascii="Times New Roman" w:hAnsi="Times New Roman" w:cs="Times New Roman"/>
          <w:iCs/>
          <w:spacing w:val="-6"/>
          <w:sz w:val="28"/>
          <w:szCs w:val="28"/>
        </w:rPr>
        <w:t xml:space="preserve">эталоны сравнения </w:t>
      </w:r>
      <w:r w:rsidRPr="00951CEB">
        <w:rPr>
          <w:rFonts w:ascii="Times New Roman" w:hAnsi="Times New Roman" w:cs="Times New Roman"/>
          <w:spacing w:val="-6"/>
          <w:sz w:val="28"/>
          <w:szCs w:val="28"/>
        </w:rPr>
        <w:t xml:space="preserve">и </w:t>
      </w:r>
      <w:r w:rsidRPr="00951CEB">
        <w:rPr>
          <w:rFonts w:ascii="Times New Roman" w:hAnsi="Times New Roman" w:cs="Times New Roman"/>
          <w:iCs/>
          <w:spacing w:val="-6"/>
          <w:sz w:val="28"/>
          <w:szCs w:val="28"/>
        </w:rPr>
        <w:t>эталоны-</w:t>
      </w:r>
      <w:r w:rsidRPr="00951CEB">
        <w:rPr>
          <w:rFonts w:ascii="Times New Roman" w:hAnsi="Times New Roman" w:cs="Times New Roman"/>
          <w:iCs/>
          <w:spacing w:val="-11"/>
          <w:sz w:val="28"/>
          <w:szCs w:val="28"/>
        </w:rPr>
        <w:t>копии.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iCs/>
          <w:spacing w:val="-1"/>
          <w:sz w:val="28"/>
          <w:szCs w:val="28"/>
        </w:rPr>
        <w:t xml:space="preserve">Эталоны сравнения </w:t>
      </w:r>
      <w:r w:rsidRPr="00951CEB">
        <w:rPr>
          <w:rFonts w:ascii="Times New Roman" w:hAnsi="Times New Roman" w:cs="Times New Roman"/>
          <w:spacing w:val="-1"/>
          <w:sz w:val="28"/>
          <w:szCs w:val="28"/>
        </w:rPr>
        <w:t xml:space="preserve">предназначены для взаимного сличения </w:t>
      </w:r>
      <w:r w:rsidRPr="00951CEB">
        <w:rPr>
          <w:rFonts w:ascii="Times New Roman" w:hAnsi="Times New Roman" w:cs="Times New Roman"/>
          <w:sz w:val="28"/>
          <w:szCs w:val="28"/>
        </w:rPr>
        <w:t>эталонов, которые по тем или иным причинам нельзя непосредственно сличать друг с другом.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iCs/>
          <w:spacing w:val="-6"/>
          <w:sz w:val="28"/>
          <w:szCs w:val="28"/>
        </w:rPr>
        <w:t xml:space="preserve">Эталоны-копии </w:t>
      </w:r>
      <w:r w:rsidRPr="00951CEB">
        <w:rPr>
          <w:rFonts w:ascii="Times New Roman" w:hAnsi="Times New Roman" w:cs="Times New Roman"/>
          <w:spacing w:val="-6"/>
          <w:sz w:val="28"/>
          <w:szCs w:val="28"/>
        </w:rPr>
        <w:t xml:space="preserve">предназначены для передачи размера единицы </w:t>
      </w:r>
      <w:r w:rsidRPr="00951CEB">
        <w:rPr>
          <w:rFonts w:ascii="Times New Roman" w:hAnsi="Times New Roman" w:cs="Times New Roman"/>
          <w:spacing w:val="-3"/>
          <w:sz w:val="28"/>
          <w:szCs w:val="28"/>
        </w:rPr>
        <w:t>рабочим эталонам.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z w:val="28"/>
          <w:szCs w:val="28"/>
        </w:rPr>
        <w:t xml:space="preserve">Рабочие эталоны подразделяются на разряды и предназначены </w:t>
      </w:r>
      <w:r w:rsidRPr="00951CEB">
        <w:rPr>
          <w:rFonts w:ascii="Times New Roman" w:hAnsi="Times New Roman" w:cs="Times New Roman"/>
          <w:spacing w:val="-8"/>
          <w:sz w:val="28"/>
          <w:szCs w:val="28"/>
        </w:rPr>
        <w:t xml:space="preserve">для передачи размера единицы подчиненным, </w:t>
      </w:r>
      <w:proofErr w:type="gramStart"/>
      <w:r w:rsidRPr="00951CEB">
        <w:rPr>
          <w:rFonts w:ascii="Times New Roman" w:hAnsi="Times New Roman" w:cs="Times New Roman"/>
          <w:spacing w:val="-8"/>
          <w:sz w:val="28"/>
          <w:szCs w:val="28"/>
        </w:rPr>
        <w:t>ниже расположенным</w:t>
      </w:r>
      <w:proofErr w:type="gramEnd"/>
      <w:r w:rsidRPr="00951CEB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951CEB">
        <w:rPr>
          <w:rFonts w:ascii="Times New Roman" w:hAnsi="Times New Roman" w:cs="Times New Roman"/>
          <w:sz w:val="28"/>
          <w:szCs w:val="28"/>
        </w:rPr>
        <w:t xml:space="preserve">по поверочной схеме эталонам и для поверки рабочих средств </w:t>
      </w:r>
      <w:r w:rsidRPr="00951CEB">
        <w:rPr>
          <w:rFonts w:ascii="Times New Roman" w:hAnsi="Times New Roman" w:cs="Times New Roman"/>
          <w:spacing w:val="-7"/>
          <w:sz w:val="28"/>
          <w:szCs w:val="28"/>
        </w:rPr>
        <w:t>измерений.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z w:val="28"/>
          <w:szCs w:val="28"/>
        </w:rPr>
        <w:t>Эталоны единиц величин применяются только для работ, связанных с передачей размеров (поверки, калибровки, сличения).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pacing w:val="-1"/>
          <w:sz w:val="28"/>
          <w:szCs w:val="28"/>
        </w:rPr>
        <w:t xml:space="preserve">Государственные эталоны хранят, исследуют и применяют в </w:t>
      </w:r>
      <w:r w:rsidRPr="00951CEB">
        <w:rPr>
          <w:rFonts w:ascii="Times New Roman" w:hAnsi="Times New Roman" w:cs="Times New Roman"/>
          <w:spacing w:val="-5"/>
          <w:sz w:val="28"/>
          <w:szCs w:val="28"/>
        </w:rPr>
        <w:t>соответствии с утвержденными правилами проведения этих работ, а также в соответствии с требованиями государственных повероч</w:t>
      </w:r>
      <w:r w:rsidRPr="00951CEB">
        <w:rPr>
          <w:rFonts w:ascii="Times New Roman" w:hAnsi="Times New Roman" w:cs="Times New Roman"/>
          <w:spacing w:val="-10"/>
          <w:sz w:val="28"/>
          <w:szCs w:val="28"/>
        </w:rPr>
        <w:t>ных схем.</w:t>
      </w:r>
    </w:p>
    <w:p w:rsidR="00951CEB" w:rsidRPr="00951CEB" w:rsidRDefault="00951CEB" w:rsidP="00951C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1CEB">
        <w:rPr>
          <w:rFonts w:ascii="Times New Roman" w:hAnsi="Times New Roman" w:cs="Times New Roman"/>
          <w:spacing w:val="-6"/>
          <w:sz w:val="28"/>
          <w:szCs w:val="28"/>
        </w:rPr>
        <w:lastRenderedPageBreak/>
        <w:t xml:space="preserve">За соблюдение правил хранения и применения государственных </w:t>
      </w:r>
      <w:r w:rsidRPr="00951CEB">
        <w:rPr>
          <w:rFonts w:ascii="Times New Roman" w:hAnsi="Times New Roman" w:cs="Times New Roman"/>
          <w:sz w:val="28"/>
          <w:szCs w:val="28"/>
        </w:rPr>
        <w:t>эталонов несет ответственность ученый хранитель эталона.</w:t>
      </w:r>
    </w:p>
    <w:p w:rsidR="00951CEB" w:rsidRPr="00951CEB" w:rsidRDefault="00951CEB" w:rsidP="00951CEB">
      <w:pPr>
        <w:pStyle w:val="a3"/>
        <w:ind w:right="-57"/>
        <w:rPr>
          <w:szCs w:val="28"/>
        </w:rPr>
      </w:pPr>
    </w:p>
    <w:p w:rsidR="00926BDE" w:rsidRPr="00951CEB" w:rsidRDefault="00926BDE">
      <w:pPr>
        <w:rPr>
          <w:rFonts w:ascii="Times New Roman" w:hAnsi="Times New Roman" w:cs="Times New Roman"/>
        </w:rPr>
      </w:pPr>
    </w:p>
    <w:sectPr w:rsidR="00926BDE" w:rsidRPr="00951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0E641F"/>
    <w:multiLevelType w:val="hybridMultilevel"/>
    <w:tmpl w:val="79288F5C"/>
    <w:lvl w:ilvl="0" w:tplc="046A99F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51CEB"/>
    <w:rsid w:val="00926BDE"/>
    <w:rsid w:val="00951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51CEB"/>
    <w:pPr>
      <w:spacing w:after="0" w:line="240" w:lineRule="auto"/>
      <w:ind w:right="-58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951CEB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547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2013-10-25T07:52:00Z</dcterms:created>
  <dcterms:modified xsi:type="dcterms:W3CDTF">2013-10-25T07:53:00Z</dcterms:modified>
</cp:coreProperties>
</file>