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7 РАСЧЕТ НАДЕЖНОСТИ НЕРЕЗЕРВИРУЕМОЙ </w:t>
      </w:r>
      <w:r w:rsidRPr="00106D76">
        <w:rPr>
          <w:rFonts w:ascii="Times New Roman" w:hAnsi="Times New Roman" w:cs="Times New Roman"/>
          <w:sz w:val="28"/>
          <w:szCs w:val="28"/>
        </w:rPr>
        <w:br/>
        <w:t xml:space="preserve">АППАРАТУРЫ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7.1 Показатели надежности приборов при основном 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br/>
        <w:t xml:space="preserve">соединении элементов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>Расчет надежности заключается в определении показателей надежности приборов по известным характеристикам надежности составляющих компонентов и условиям эксплуатации. Для расчета надежности необходимо иметь логическую модель безотказной работы системы</w:t>
      </w:r>
      <w:proofErr w:type="gramStart"/>
      <w:r w:rsidRPr="00106D76">
        <w:rPr>
          <w:szCs w:val="28"/>
        </w:rPr>
        <w:t xml:space="preserve"> .</w:t>
      </w:r>
      <w:proofErr w:type="gramEnd"/>
      <w:r w:rsidRPr="00106D76">
        <w:rPr>
          <w:szCs w:val="28"/>
        </w:rPr>
        <w:t xml:space="preserve"> При ее составлении предполагается, что отказы элементов независимы, а элементы и система могут находиться в одном из двух состояний: работоспособном или неработоспособном. Элемент, при отказе которого отказывает вся система, считается последовательно соединенным на логической схеме надежности. Если схема состоит только из последовательно включенных элементов, то система является нерезервированной. 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Рассмотрим систему, состоящую из </w:t>
      </w:r>
      <w:r w:rsidRPr="00106D76">
        <w:rPr>
          <w:szCs w:val="28"/>
          <w:lang w:val="en-US"/>
        </w:rPr>
        <w:t>n</w:t>
      </w:r>
      <w:r w:rsidRPr="00106D76">
        <w:rPr>
          <w:szCs w:val="28"/>
        </w:rPr>
        <w:t xml:space="preserve"> элементов, имеющих основное соединение. Отказ системы происходит при отказе любого элемента. В этом случае вероятность безотказной работы группы элементов равна произведению вероятностей безотказной работы ее элементов  то есть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6"/>
          <w:sz w:val="28"/>
          <w:szCs w:val="28"/>
          <w:lang w:val="en-US"/>
        </w:rPr>
        <w:object w:dxaOrig="360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75pt;height:45.75pt" o:ole="">
            <v:imagedata r:id="rId5" o:title=""/>
          </v:shape>
          <o:OLEObject Type="Embed" ProgID="Equation.3" ShapeID="_x0000_i1025" DrawAspect="Content" ObjectID="_1472143796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безотказной работы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>-го элемента.</w:t>
      </w:r>
    </w:p>
    <w:p w:rsidR="00637CE7" w:rsidRPr="00106D76" w:rsidRDefault="00637CE7" w:rsidP="00637CE7">
      <w:pPr>
        <w:pStyle w:val="a5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Для экспоненциального закона надежности, присущего электронным компонентам, можно записать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2820" w:dyaOrig="680">
          <v:shape id="_x0000_i1026" type="#_x0000_t75" style="width:203.25pt;height:48.75pt" o:ole="">
            <v:imagedata r:id="rId7" o:title=""/>
          </v:shape>
          <o:OLEObject Type="Embed" ProgID="Equation.3" ShapeID="_x0000_i1026" DrawAspect="Content" ObjectID="_1472143797" r:id="rId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Интенсивность отказов и среднее время безотказной работы системы соответственно равны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999" w:dyaOrig="680">
          <v:shape id="_x0000_i1027" type="#_x0000_t75" style="width:73.5pt;height:49.5pt" o:ole="">
            <v:imagedata r:id="rId9" o:title=""/>
          </v:shape>
          <o:OLEObject Type="Embed" ProgID="Equation.3" ShapeID="_x0000_i1027" DrawAspect="Content" ObjectID="_1472143798" r:id="rId1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Среднее время наработки до первого отказа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0"/>
          <w:sz w:val="28"/>
          <w:szCs w:val="28"/>
          <w:lang w:val="en-US"/>
        </w:rPr>
        <w:object w:dxaOrig="1480" w:dyaOrig="980">
          <v:shape id="_x0000_i1028" type="#_x0000_t75" style="width:100.5pt;height:66pt" o:ole="">
            <v:imagedata r:id="rId11" o:title=""/>
          </v:shape>
          <o:OLEObject Type="Embed" ProgID="Equation.3" ShapeID="_x0000_i1028" DrawAspect="Content" ObjectID="_1472143799" r:id="rId1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3"/>
        <w:spacing w:line="240" w:lineRule="auto"/>
        <w:ind w:firstLine="0"/>
        <w:jc w:val="center"/>
        <w:rPr>
          <w:b/>
          <w:bCs/>
          <w:szCs w:val="28"/>
        </w:rPr>
      </w:pPr>
      <w:r w:rsidRPr="00106D76">
        <w:rPr>
          <w:b/>
          <w:bCs/>
          <w:szCs w:val="28"/>
        </w:rPr>
        <w:t xml:space="preserve">7.2 Влияние внешних факторов и электрических нагрузок </w:t>
      </w:r>
      <w:r w:rsidRPr="00106D76">
        <w:rPr>
          <w:b/>
          <w:bCs/>
          <w:szCs w:val="28"/>
        </w:rPr>
        <w:br/>
        <w:t>на надежность приборов</w:t>
      </w:r>
    </w:p>
    <w:p w:rsidR="00637CE7" w:rsidRPr="00106D76" w:rsidRDefault="00637CE7" w:rsidP="00637CE7">
      <w:pPr>
        <w:pStyle w:val="a3"/>
        <w:spacing w:line="240" w:lineRule="auto"/>
        <w:ind w:firstLine="0"/>
        <w:jc w:val="center"/>
        <w:rPr>
          <w:szCs w:val="28"/>
        </w:rPr>
      </w:pP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Известными характеристиками надежности являются интенсивности отказов элементов </w:t>
      </w:r>
      <w:r w:rsidRPr="00106D76">
        <w:rPr>
          <w:position w:val="-12"/>
          <w:szCs w:val="28"/>
        </w:rPr>
        <w:object w:dxaOrig="300" w:dyaOrig="380">
          <v:shape id="_x0000_i1029" type="#_x0000_t75" style="width:15pt;height:18.75pt" o:ole="" fillcolor="window">
            <v:imagedata r:id="rId13" o:title=""/>
          </v:shape>
          <o:OLEObject Type="Embed" ProgID="Equation.3" ShapeID="_x0000_i1029" DrawAspect="Content" ObjectID="_1472143800" r:id="rId14"/>
        </w:object>
      </w:r>
      <w:r w:rsidRPr="00106D76">
        <w:rPr>
          <w:szCs w:val="28"/>
        </w:rPr>
        <w:t xml:space="preserve">, приведенные в справочной литературе. 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Интенсивность отказов элементов </w:t>
      </w:r>
      <w:r w:rsidRPr="00106D76">
        <w:rPr>
          <w:position w:val="-12"/>
          <w:szCs w:val="28"/>
        </w:rPr>
        <w:object w:dxaOrig="260" w:dyaOrig="380">
          <v:shape id="_x0000_i1030" type="#_x0000_t75" style="width:12.75pt;height:18.75pt" o:ole="" fillcolor="window">
            <v:imagedata r:id="rId15" o:title=""/>
          </v:shape>
          <o:OLEObject Type="Embed" ProgID="Equation.3" ShapeID="_x0000_i1030" DrawAspect="Content" ObjectID="_1472143801" r:id="rId16"/>
        </w:object>
      </w:r>
      <w:r w:rsidRPr="00106D76">
        <w:rPr>
          <w:szCs w:val="28"/>
        </w:rPr>
        <w:t>, ч</w:t>
      </w:r>
      <w:r w:rsidRPr="00106D76">
        <w:rPr>
          <w:szCs w:val="28"/>
          <w:vertAlign w:val="superscript"/>
        </w:rPr>
        <w:t>-1</w:t>
      </w:r>
      <w:r w:rsidRPr="00106D76">
        <w:rPr>
          <w:szCs w:val="28"/>
        </w:rPr>
        <w:t>, с учетом условий эксплуатации рассчитывается по формуле</w:t>
      </w:r>
    </w:p>
    <w:p w:rsidR="00637CE7" w:rsidRPr="005C3DE7" w:rsidRDefault="00637CE7" w:rsidP="00637CE7">
      <w:pPr>
        <w:pStyle w:val="a3"/>
        <w:spacing w:line="240" w:lineRule="auto"/>
        <w:jc w:val="right"/>
        <w:rPr>
          <w:szCs w:val="28"/>
        </w:rPr>
      </w:pPr>
      <w:r w:rsidRPr="00106D76">
        <w:rPr>
          <w:b/>
          <w:position w:val="-12"/>
          <w:szCs w:val="28"/>
        </w:rPr>
        <w:object w:dxaOrig="260" w:dyaOrig="380">
          <v:shape id="_x0000_i1031" type="#_x0000_t75" style="width:12.75pt;height:18.75pt" o:ole="" fillcolor="window">
            <v:imagedata r:id="rId17" o:title=""/>
          </v:shape>
          <o:OLEObject Type="Embed" ProgID="Equation.3" ShapeID="_x0000_i1031" DrawAspect="Content" ObjectID="_1472143802" r:id="rId18"/>
        </w:object>
      </w:r>
      <w:r w:rsidRPr="005C3DE7">
        <w:rPr>
          <w:b/>
          <w:szCs w:val="28"/>
        </w:rPr>
        <w:t>=</w:t>
      </w:r>
      <w:r w:rsidRPr="00106D76">
        <w:rPr>
          <w:position w:val="-12"/>
          <w:szCs w:val="28"/>
        </w:rPr>
        <w:object w:dxaOrig="300" w:dyaOrig="380">
          <v:shape id="_x0000_i1032" type="#_x0000_t75" style="width:15pt;height:18.75pt" o:ole="" fillcolor="window">
            <v:imagedata r:id="rId13" o:title=""/>
          </v:shape>
          <o:OLEObject Type="Embed" ProgID="Equation.3" ShapeID="_x0000_i1032" DrawAspect="Content" ObjectID="_1472143803" r:id="rId19"/>
        </w:objec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1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2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3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4</w:t>
      </w:r>
      <w:r w:rsidRPr="005C3DE7">
        <w:rPr>
          <w:szCs w:val="28"/>
        </w:rPr>
        <w:t>*</w:t>
      </w:r>
      <w:proofErr w:type="spellStart"/>
      <w:r w:rsidRPr="00106D76">
        <w:rPr>
          <w:szCs w:val="28"/>
          <w:lang w:val="en-US"/>
        </w:rPr>
        <w:t>a</w:t>
      </w:r>
      <w:r w:rsidRPr="00106D76">
        <w:rPr>
          <w:szCs w:val="28"/>
          <w:vertAlign w:val="subscript"/>
          <w:lang w:val="en-US"/>
        </w:rPr>
        <w:t>i</w:t>
      </w:r>
      <w:proofErr w:type="spellEnd"/>
      <w:r w:rsidRPr="005C3DE7">
        <w:rPr>
          <w:szCs w:val="28"/>
        </w:rPr>
        <w:t>(</w:t>
      </w:r>
      <w:r w:rsidRPr="00106D76">
        <w:rPr>
          <w:szCs w:val="28"/>
          <w:lang w:val="en-US"/>
        </w:rPr>
        <w:t>T</w:t>
      </w:r>
      <w:r w:rsidRPr="005C3DE7">
        <w:rPr>
          <w:szCs w:val="28"/>
        </w:rPr>
        <w:t xml:space="preserve">, </w:t>
      </w:r>
      <w:proofErr w:type="gramStart"/>
      <w:r w:rsidRPr="00106D76">
        <w:rPr>
          <w:szCs w:val="28"/>
          <w:lang w:val="en-US"/>
        </w:rPr>
        <w:t>k</w:t>
      </w:r>
      <w:proofErr w:type="spellStart"/>
      <w:proofErr w:type="gramEnd"/>
      <w:r w:rsidRPr="00106D76">
        <w:rPr>
          <w:szCs w:val="28"/>
          <w:vertAlign w:val="subscript"/>
        </w:rPr>
        <w:t>н</w:t>
      </w:r>
      <w:proofErr w:type="spellEnd"/>
      <w:r w:rsidRPr="005C3DE7">
        <w:rPr>
          <w:szCs w:val="28"/>
        </w:rPr>
        <w:t>),</w:t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где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 xml:space="preserve"> и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2</w:t>
      </w:r>
      <w:r w:rsidRPr="00106D76">
        <w:rPr>
          <w:szCs w:val="28"/>
        </w:rPr>
        <w:t xml:space="preserve"> – поправочные коэффициенты в зависимости от механических факторов;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3</w:t>
      </w:r>
      <w:r w:rsidRPr="00106D76">
        <w:rPr>
          <w:szCs w:val="28"/>
        </w:rPr>
        <w:t xml:space="preserve"> – поправочный коэффициент в зависимости от воздействия влажности и температуры;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 xml:space="preserve"> – поправочный коэффициент на давление воздуха;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а</w:t>
      </w:r>
      <w:proofErr w:type="spellStart"/>
      <w:proofErr w:type="gramStart"/>
      <w:r w:rsidRPr="00106D76">
        <w:rPr>
          <w:szCs w:val="28"/>
          <w:vertAlign w:val="subscript"/>
          <w:lang w:val="en-US"/>
        </w:rPr>
        <w:t>i</w:t>
      </w:r>
      <w:proofErr w:type="spellEnd"/>
      <w:proofErr w:type="gramEnd"/>
      <w:r w:rsidRPr="00106D76">
        <w:rPr>
          <w:szCs w:val="28"/>
        </w:rPr>
        <w:t xml:space="preserve">  - поправочный коэффициент в зависимости от температуры поверхности элемента и коэффициента нагрузки.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Поправочные коэффициенты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>-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 xml:space="preserve"> приведены в </w:t>
      </w:r>
      <w:r w:rsidR="00DB3B9C">
        <w:rPr>
          <w:szCs w:val="28"/>
        </w:rPr>
        <w:t>справочниках</w:t>
      </w:r>
      <w:r w:rsidRPr="00106D76">
        <w:rPr>
          <w:szCs w:val="28"/>
        </w:rPr>
        <w:t xml:space="preserve"> Коэффициенты электрической нагрузки </w:t>
      </w:r>
      <w:r w:rsidRPr="00106D76">
        <w:rPr>
          <w:szCs w:val="28"/>
          <w:lang w:val="en-US"/>
        </w:rPr>
        <w:t>k</w:t>
      </w:r>
      <w:proofErr w:type="spellStart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 xml:space="preserve"> рассчитываются по формулам,. Таблицы для определения поправочных коэффициентов </w:t>
      </w:r>
      <w:proofErr w:type="spellStart"/>
      <w:r w:rsidRPr="00106D76">
        <w:rPr>
          <w:szCs w:val="28"/>
          <w:lang w:val="en-US"/>
        </w:rPr>
        <w:t>a</w:t>
      </w:r>
      <w:r w:rsidRPr="00106D76">
        <w:rPr>
          <w:szCs w:val="28"/>
          <w:vertAlign w:val="subscript"/>
          <w:lang w:val="en-US"/>
        </w:rPr>
        <w:t>i</w:t>
      </w:r>
      <w:proofErr w:type="spellEnd"/>
      <w:r w:rsidRPr="00106D76">
        <w:rPr>
          <w:szCs w:val="28"/>
        </w:rPr>
        <w:t>(</w:t>
      </w:r>
      <w:r w:rsidRPr="00106D76">
        <w:rPr>
          <w:szCs w:val="28"/>
          <w:lang w:val="en-US"/>
        </w:rPr>
        <w:t>T</w:t>
      </w:r>
      <w:r w:rsidRPr="00106D76">
        <w:rPr>
          <w:szCs w:val="28"/>
        </w:rPr>
        <w:t xml:space="preserve">, </w:t>
      </w:r>
      <w:r w:rsidRPr="00106D76">
        <w:rPr>
          <w:szCs w:val="28"/>
          <w:lang w:val="en-US"/>
        </w:rPr>
        <w:t>k</w:t>
      </w:r>
      <w:proofErr w:type="spellStart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 xml:space="preserve">) приведены в </w:t>
      </w:r>
      <w:proofErr w:type="spellStart"/>
      <w:proofErr w:type="gramStart"/>
      <w:r w:rsidR="00DB3B9C">
        <w:rPr>
          <w:szCs w:val="28"/>
        </w:rPr>
        <w:t>в</w:t>
      </w:r>
      <w:proofErr w:type="spellEnd"/>
      <w:proofErr w:type="gramEnd"/>
      <w:r w:rsidR="00DB3B9C">
        <w:rPr>
          <w:szCs w:val="28"/>
        </w:rPr>
        <w:t xml:space="preserve"> справочниках</w:t>
      </w:r>
      <w:r w:rsidRPr="00106D76">
        <w:rPr>
          <w:szCs w:val="28"/>
        </w:rPr>
        <w:t>. Температура корпуса ЭРЭ принимается равной верхнему значению диапазона температуры окружающей среды.</w:t>
      </w:r>
    </w:p>
    <w:p w:rsidR="00637CE7" w:rsidRPr="00106D76" w:rsidRDefault="00637CE7" w:rsidP="00637CE7">
      <w:pPr>
        <w:pStyle w:val="a3"/>
        <w:spacing w:line="240" w:lineRule="auto"/>
        <w:rPr>
          <w:b/>
          <w:szCs w:val="28"/>
        </w:rPr>
      </w:pPr>
      <w:r w:rsidRPr="00106D76">
        <w:rPr>
          <w:szCs w:val="28"/>
        </w:rPr>
        <w:t xml:space="preserve">Результаты расчета по формуле (34) удобно представлять в таблице, в боковике которой указываются элементы, а в головке - известные интенсивности </w:t>
      </w:r>
      <w:r w:rsidRPr="00106D76">
        <w:rPr>
          <w:position w:val="-12"/>
          <w:szCs w:val="28"/>
        </w:rPr>
        <w:object w:dxaOrig="300" w:dyaOrig="380">
          <v:shape id="_x0000_i1033" type="#_x0000_t75" style="width:15pt;height:18.75pt" o:ole="" fillcolor="window">
            <v:imagedata r:id="rId13" o:title=""/>
          </v:shape>
          <o:OLEObject Type="Embed" ProgID="Equation.3" ShapeID="_x0000_i1033" DrawAspect="Content" ObjectID="_1472143804" r:id="rId20"/>
        </w:object>
      </w:r>
      <w:r w:rsidRPr="00106D76">
        <w:rPr>
          <w:szCs w:val="28"/>
        </w:rPr>
        <w:t xml:space="preserve">, произведение коэффициентов влияющих факторов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2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3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 xml:space="preserve">, коэффициенты нагрузки </w:t>
      </w:r>
      <w:proofErr w:type="gramStart"/>
      <w:r w:rsidRPr="00106D76">
        <w:rPr>
          <w:szCs w:val="28"/>
          <w:lang w:val="en-US"/>
        </w:rPr>
        <w:t>k</w:t>
      </w:r>
      <w:proofErr w:type="spellStart"/>
      <w:proofErr w:type="gramEnd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>, поправочные коэффициенты а</w:t>
      </w:r>
      <w:proofErr w:type="spellStart"/>
      <w:r w:rsidRPr="00106D76">
        <w:rPr>
          <w:szCs w:val="28"/>
          <w:vertAlign w:val="subscript"/>
          <w:lang w:val="en-US"/>
        </w:rPr>
        <w:t>i</w:t>
      </w:r>
      <w:proofErr w:type="spellEnd"/>
      <w:r w:rsidRPr="00106D76">
        <w:rPr>
          <w:szCs w:val="28"/>
          <w:vertAlign w:val="subscript"/>
        </w:rPr>
        <w:t xml:space="preserve"> </w:t>
      </w:r>
      <w:r w:rsidRPr="00106D76">
        <w:rPr>
          <w:szCs w:val="28"/>
        </w:rPr>
        <w:t xml:space="preserve"> и интенсивности отказов с учетом условий эксплуатации и электрических нагрузок </w:t>
      </w:r>
      <w:r w:rsidRPr="00106D76">
        <w:rPr>
          <w:b/>
          <w:position w:val="-12"/>
          <w:szCs w:val="28"/>
        </w:rPr>
        <w:object w:dxaOrig="260" w:dyaOrig="380">
          <v:shape id="_x0000_i1034" type="#_x0000_t75" style="width:12.75pt;height:18.75pt" o:ole="" fillcolor="window">
            <v:imagedata r:id="rId17" o:title=""/>
          </v:shape>
          <o:OLEObject Type="Embed" ProgID="Equation.3" ShapeID="_x0000_i1034" DrawAspect="Content" ObjectID="_1472143805" r:id="rId21"/>
        </w:object>
      </w:r>
      <w:r w:rsidRPr="00106D76">
        <w:rPr>
          <w:b/>
          <w:szCs w:val="28"/>
        </w:rPr>
        <w:t>.</w:t>
      </w:r>
    </w:p>
    <w:p w:rsidR="00F70F63" w:rsidRDefault="00F70F63"/>
    <w:sectPr w:rsidR="00F70F63" w:rsidSect="00CE4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E0AC6"/>
    <w:multiLevelType w:val="hybridMultilevel"/>
    <w:tmpl w:val="D64222D8"/>
    <w:lvl w:ilvl="0" w:tplc="64C427F2">
      <w:start w:val="6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7CE7"/>
    <w:rsid w:val="004E3B11"/>
    <w:rsid w:val="00637CE7"/>
    <w:rsid w:val="0078007C"/>
    <w:rsid w:val="00CE4999"/>
    <w:rsid w:val="00DB3B9C"/>
    <w:rsid w:val="00F70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7CE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37CE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637CE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637CE7"/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5</cp:revision>
  <dcterms:created xsi:type="dcterms:W3CDTF">2013-12-05T06:36:00Z</dcterms:created>
  <dcterms:modified xsi:type="dcterms:W3CDTF">2014-09-13T14:03:00Z</dcterms:modified>
</cp:coreProperties>
</file>