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D61" w:rsidRPr="005942AE" w:rsidRDefault="00BC0D61" w:rsidP="00BC0D61">
      <w:pPr>
        <w:ind w:left="284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sz w:val="28"/>
          <w:szCs w:val="28"/>
        </w:rPr>
        <w:t xml:space="preserve">3 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ПОКАЗАТЕЛИ КАЧЕСТВА </w:t>
      </w:r>
      <w:r w:rsidRPr="005942AE">
        <w:rPr>
          <w:rFonts w:ascii="Times New Roman" w:hAnsi="Times New Roman" w:cs="Times New Roman"/>
          <w:bCs/>
          <w:iCs/>
          <w:sz w:val="28"/>
          <w:szCs w:val="28"/>
        </w:rPr>
        <w:t>РЭС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Показатели, характеризующие качество конструкции РЭС могут быть разбиты на 4 следующие группы: </w:t>
      </w:r>
    </w:p>
    <w:p w:rsidR="00BC0D61" w:rsidRPr="005942AE" w:rsidRDefault="00BC0D61" w:rsidP="00BC0D61">
      <w:pPr>
        <w:numPr>
          <w:ilvl w:val="0"/>
          <w:numId w:val="1"/>
        </w:numPr>
        <w:spacing w:after="0" w:line="240" w:lineRule="auto"/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5942AE">
        <w:rPr>
          <w:rFonts w:ascii="Times New Roman" w:hAnsi="Times New Roman" w:cs="Times New Roman"/>
          <w:bCs/>
          <w:sz w:val="28"/>
          <w:szCs w:val="28"/>
        </w:rPr>
        <w:t>абсолютные</w:t>
      </w:r>
      <w:proofErr w:type="gram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(т. е. в абсолютных величинах); </w:t>
      </w:r>
    </w:p>
    <w:p w:rsidR="00BC0D61" w:rsidRPr="005942AE" w:rsidRDefault="00BC0D61" w:rsidP="00BC0D61">
      <w:pPr>
        <w:numPr>
          <w:ilvl w:val="0"/>
          <w:numId w:val="1"/>
        </w:numPr>
        <w:spacing w:after="0" w:line="240" w:lineRule="auto"/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комплексный (обобщенный); </w:t>
      </w:r>
    </w:p>
    <w:p w:rsidR="00BC0D61" w:rsidRPr="005942AE" w:rsidRDefault="00BC0D61" w:rsidP="00BC0D61">
      <w:pPr>
        <w:numPr>
          <w:ilvl w:val="0"/>
          <w:numId w:val="1"/>
        </w:numPr>
        <w:spacing w:after="0" w:line="240" w:lineRule="auto"/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5942AE">
        <w:rPr>
          <w:rFonts w:ascii="Times New Roman" w:hAnsi="Times New Roman" w:cs="Times New Roman"/>
          <w:bCs/>
          <w:sz w:val="28"/>
          <w:szCs w:val="28"/>
        </w:rPr>
        <w:t>удельные</w:t>
      </w:r>
      <w:proofErr w:type="gram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(в удельных величинах); </w:t>
      </w:r>
    </w:p>
    <w:p w:rsidR="00BC0D61" w:rsidRPr="005942AE" w:rsidRDefault="00BC0D61" w:rsidP="00BC0D61">
      <w:pPr>
        <w:numPr>
          <w:ilvl w:val="0"/>
          <w:numId w:val="1"/>
        </w:numPr>
        <w:spacing w:after="0" w:line="240" w:lineRule="auto"/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относительные (безразмерные, нормированные).</w:t>
      </w:r>
    </w:p>
    <w:p w:rsidR="00BC0D61" w:rsidRPr="005942AE" w:rsidRDefault="00BC0D61" w:rsidP="00BC0D61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C0D61" w:rsidRPr="005942AE" w:rsidRDefault="00BC0D61" w:rsidP="00BC0D61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942AE">
        <w:rPr>
          <w:rFonts w:ascii="Times New Roman" w:hAnsi="Times New Roman" w:cs="Times New Roman"/>
          <w:b/>
          <w:bCs/>
          <w:sz w:val="28"/>
          <w:szCs w:val="28"/>
        </w:rPr>
        <w:t>3.1 Абсолютные показатели качества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Материальные (М): масса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m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, объем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V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, потребляемая мощность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P</w:t>
      </w:r>
      <w:r w:rsidRPr="005942AE">
        <w:rPr>
          <w:rFonts w:ascii="Times New Roman" w:hAnsi="Times New Roman" w:cs="Times New Roman"/>
          <w:bCs/>
          <w:sz w:val="28"/>
          <w:szCs w:val="28"/>
        </w:rPr>
        <w:t>, частота отказов λ, стоимость</w:t>
      </w:r>
      <w:proofErr w:type="gramStart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С</w:t>
      </w:r>
      <w:proofErr w:type="gramEnd"/>
      <w:r w:rsidRPr="005942AE">
        <w:rPr>
          <w:rFonts w:ascii="Times New Roman" w:hAnsi="Times New Roman" w:cs="Times New Roman"/>
          <w:bCs/>
          <w:sz w:val="28"/>
          <w:szCs w:val="28"/>
        </w:rPr>
        <w:t>, срок разработки Т.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Функциональные, или энергоинформационные (Ф). Например: коэффициент усиления, диапазон измерений, быстродействие, точность и т. д.</w:t>
      </w:r>
    </w:p>
    <w:p w:rsidR="00BC0D61" w:rsidRPr="005942AE" w:rsidRDefault="00BC0D61" w:rsidP="00BC0D61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942AE">
        <w:rPr>
          <w:rFonts w:ascii="Times New Roman" w:hAnsi="Times New Roman" w:cs="Times New Roman"/>
          <w:b/>
          <w:bCs/>
          <w:sz w:val="28"/>
          <w:szCs w:val="28"/>
        </w:rPr>
        <w:t>3.2 Комплексный показатель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Комплексный показатель качества представляет собой сумму нормированных частных материальных показателей со своими весовыми коэффициентами, или коэффициентами значимости этого параметра для суммарного качества конструкции.</w:t>
      </w:r>
    </w:p>
    <w:p w:rsidR="00BC0D61" w:rsidRPr="005942AE" w:rsidRDefault="00F42AE4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42AE">
        <w:rPr>
          <w:rFonts w:ascii="Times New Roman" w:hAnsi="Times New Roman" w:cs="Times New Roman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5.55pt;margin-top:7.4pt;width:274.4pt;height:24.5pt;z-index:251660288" wrapcoords="271 4000 135 12800 2776 15200 21261 15200 21261 4000 271 4000">
            <v:imagedata r:id="rId5" o:title=""/>
          </v:shape>
          <o:OLEObject Type="Embed" ProgID="Equation.3" ShapeID="_x0000_s1026" DrawAspect="Content" ObjectID="_1471280627" r:id="rId6"/>
        </w:pic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где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m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0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V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0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λ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0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P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0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C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0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T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0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– нормированные значения материальных параметров относительно заданных по ТЗ, либо отношения этих материальных параметров для разных сравниваемых элементов конструкции;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    φ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  <w:lang w:val="en-US"/>
        </w:rPr>
        <w:t>m</w:t>
      </w:r>
      <w:r w:rsidRPr="005942AE">
        <w:rPr>
          <w:rFonts w:ascii="Times New Roman" w:hAnsi="Times New Roman" w:cs="Times New Roman"/>
          <w:bCs/>
          <w:sz w:val="28"/>
          <w:szCs w:val="28"/>
        </w:rPr>
        <w:t>, ... , φ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  <w:lang w:val="en-US"/>
        </w:rPr>
        <w:t>T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proofErr w:type="gramStart"/>
      <w:r w:rsidRPr="005942AE">
        <w:rPr>
          <w:rFonts w:ascii="Times New Roman" w:hAnsi="Times New Roman" w:cs="Times New Roman"/>
          <w:bCs/>
          <w:sz w:val="28"/>
          <w:szCs w:val="28"/>
        </w:rPr>
        <w:t>коэффициенты</w:t>
      </w:r>
      <w:proofErr w:type="gram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значимости частных материальных параметров, определяемых методом экспертных оценок для конкретного вида конструкции, обычно φ = 0 ÷ 1, т. ч. ∑ φ = 1.</w:t>
      </w:r>
    </w:p>
    <w:p w:rsidR="00BC0D61" w:rsidRPr="005942AE" w:rsidRDefault="00BC0D61" w:rsidP="00BC0D61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942AE">
        <w:rPr>
          <w:rFonts w:ascii="Times New Roman" w:hAnsi="Times New Roman" w:cs="Times New Roman"/>
          <w:b/>
          <w:bCs/>
          <w:sz w:val="28"/>
          <w:szCs w:val="28"/>
        </w:rPr>
        <w:t>3.3 Удельные показатели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Удельные показатели качества оцениваются прогресс развития новых конструкций по сравнению с предыдущими аналогами и прототипами. К ним относят удельные коэффициенты конструкций, </w:t>
      </w:r>
      <w:r w:rsidRPr="005942AE">
        <w:rPr>
          <w:rFonts w:ascii="Times New Roman" w:hAnsi="Times New Roman" w:cs="Times New Roman"/>
          <w:bCs/>
          <w:sz w:val="28"/>
          <w:szCs w:val="28"/>
        </w:rPr>
        <w:lastRenderedPageBreak/>
        <w:t>плотность упаковки элементов на плоскости или в объеме, удельную мощность рассеяния на плоскости или в объеме (</w:t>
      </w:r>
      <w:proofErr w:type="spellStart"/>
      <w:r w:rsidRPr="005942AE">
        <w:rPr>
          <w:rFonts w:ascii="Times New Roman" w:hAnsi="Times New Roman" w:cs="Times New Roman"/>
          <w:bCs/>
          <w:sz w:val="28"/>
          <w:szCs w:val="28"/>
        </w:rPr>
        <w:t>теплонагруженность</w:t>
      </w:r>
      <w:proofErr w:type="spell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конструкции), удельную массу.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Удельные коэффициенты определяются по формуле</w:t>
      </w:r>
    </w:p>
    <w:p w:rsidR="00BC0D61" w:rsidRPr="005942AE" w:rsidRDefault="00F42AE4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noProof/>
          <w:sz w:val="28"/>
          <w:szCs w:val="28"/>
        </w:rPr>
        <w:pict>
          <v:shape id="_x0000_s1027" type="#_x0000_t75" style="position:absolute;left:0;text-align:left;margin-left:199.8pt;margin-top:0;width:46.5pt;height:40.05pt;z-index:251661312" wrapcoords="13224 2107 3086 6322 441 7902 441 12644 10580 18966 13665 19493 16751 19493 21159 17912 20278 10537 11902 10537 20278 6322 19837 2107 13224 2107">
            <v:imagedata r:id="rId7" o:title=""/>
          </v:shape>
          <o:OLEObject Type="Embed" ProgID="Equation.3" ShapeID="_x0000_s1027" DrawAspect="Content" ObjectID="_1471280628" r:id="rId8"/>
        </w:pic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где М и Ф – материальные и функциональные показатели  соответственно, для каждого типа имеют свою размерность.</w:t>
      </w:r>
    </w:p>
    <w:p w:rsidR="00BC0D61" w:rsidRPr="005942AE" w:rsidRDefault="00F42AE4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noProof/>
          <w:sz w:val="28"/>
          <w:szCs w:val="28"/>
        </w:rPr>
        <w:pict>
          <v:shape id="_x0000_s1028" type="#_x0000_t75" style="position:absolute;left:0;text-align:left;margin-left:143.4pt;margin-top:31.1pt;width:73.45pt;height:39.25pt;z-index:251662336" wrapcoords="13224 2107 3086 6322 441 7902 441 12644 10580 18966 13665 19493 16751 19493 21159 17912 20278 10537 11902 10537 20278 6322 19837 2107 13224 2107">
            <v:imagedata r:id="rId9" o:title=""/>
          </v:shape>
          <o:OLEObject Type="Embed" ProgID="Equation.3" ShapeID="_x0000_s1028" DrawAspect="Content" ObjectID="_1471280629" r:id="rId10"/>
        </w:pict>
      </w:r>
      <w:r w:rsidRPr="005942AE">
        <w:rPr>
          <w:rFonts w:ascii="Times New Roman" w:hAnsi="Times New Roman" w:cs="Times New Roman"/>
          <w:bCs/>
          <w:noProof/>
          <w:sz w:val="28"/>
          <w:szCs w:val="28"/>
        </w:rPr>
        <w:pict>
          <v:shape id="_x0000_s1029" type="#_x0000_t75" style="position:absolute;left:0;text-align:left;margin-left:221.55pt;margin-top:27.85pt;width:56.75pt;height:40pt;z-index:251663360" wrapcoords="13224 2107 3086 6322 441 7902 441 12644 10580 18966 13665 19493 16751 19493 21159 17912 20278 10537 11902 10537 20278 6322 19837 2107 13224 2107">
            <v:imagedata r:id="rId11" o:title=""/>
          </v:shape>
          <o:OLEObject Type="Embed" ProgID="Equation.3" ShapeID="_x0000_s1029" DrawAspect="Content" ObjectID="_1471280630" r:id="rId12"/>
        </w:pict>
      </w:r>
      <w:r w:rsidR="00BC0D61" w:rsidRPr="005942AE">
        <w:rPr>
          <w:rFonts w:ascii="Times New Roman" w:hAnsi="Times New Roman" w:cs="Times New Roman"/>
          <w:bCs/>
          <w:sz w:val="28"/>
          <w:szCs w:val="28"/>
        </w:rPr>
        <w:t>Плотность упаковки элементов на площади и в объеме оцениваются следующими выражениями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где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– количество элементов, </w:t>
      </w:r>
      <w:proofErr w:type="spellStart"/>
      <w:r w:rsidRPr="005942AE">
        <w:rPr>
          <w:rFonts w:ascii="Times New Roman" w:hAnsi="Times New Roman" w:cs="Times New Roman"/>
          <w:bCs/>
          <w:sz w:val="28"/>
          <w:szCs w:val="28"/>
        </w:rPr>
        <w:t>опредляется</w:t>
      </w:r>
      <w:proofErr w:type="spell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=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ИС</w:t>
      </w:r>
      <w:r w:rsidRPr="005942AE">
        <w:rPr>
          <w:rFonts w:ascii="Times New Roman" w:hAnsi="Times New Roman" w:cs="Times New Roman"/>
          <w:bCs/>
          <w:sz w:val="28"/>
          <w:szCs w:val="28"/>
        </w:rPr>
        <w:t>*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э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+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proofErr w:type="spellStart"/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эрэ</w:t>
      </w:r>
      <w:proofErr w:type="spellEnd"/>
      <w:r w:rsidRPr="005942AE">
        <w:rPr>
          <w:rFonts w:ascii="Times New Roman" w:hAnsi="Times New Roman" w:cs="Times New Roman"/>
          <w:bCs/>
          <w:sz w:val="28"/>
          <w:szCs w:val="28"/>
        </w:rPr>
        <w:t>;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ИС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– число ИС в устройстве;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э</w:t>
      </w:r>
      <w:proofErr w:type="gramEnd"/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 xml:space="preserve"> </w:t>
      </w:r>
      <w:r w:rsidRPr="005942AE">
        <w:rPr>
          <w:rFonts w:ascii="Times New Roman" w:hAnsi="Times New Roman" w:cs="Times New Roman"/>
          <w:bCs/>
          <w:sz w:val="28"/>
          <w:szCs w:val="28"/>
        </w:rPr>
        <w:t>– число элементов в одной ИС (в кристалле или корпусе);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proofErr w:type="spellStart"/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эрэ</w:t>
      </w:r>
      <w:proofErr w:type="spellEnd"/>
      <w:proofErr w:type="gram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– количество навесных ЭРЭ в конструкции ячейки, блока, корпуса.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Плотность упаковки является главным показателем уровня интеграции </w:t>
      </w:r>
      <w:proofErr w:type="spellStart"/>
      <w:r w:rsidRPr="005942AE">
        <w:rPr>
          <w:rFonts w:ascii="Times New Roman" w:hAnsi="Times New Roman" w:cs="Times New Roman"/>
          <w:bCs/>
          <w:sz w:val="28"/>
          <w:szCs w:val="28"/>
        </w:rPr>
        <w:t>конструктива</w:t>
      </w:r>
      <w:proofErr w:type="spell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того или иного уровня. По этому показателю сравниваются конструкции одного уровня, т. к. при переходе от уровня к уровню происходит уменьшение плотности упаковки. </w:t>
      </w:r>
      <w:proofErr w:type="gramStart"/>
      <w:r w:rsidRPr="005942AE">
        <w:rPr>
          <w:rFonts w:ascii="Times New Roman" w:hAnsi="Times New Roman" w:cs="Times New Roman"/>
          <w:bCs/>
          <w:sz w:val="28"/>
          <w:szCs w:val="28"/>
        </w:rPr>
        <w:t>Например</w:t>
      </w:r>
      <w:proofErr w:type="gram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при установке кристалла цифровой ИС в корпус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IV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типа происходит увеличение объема в 200 раз, а при компоновке их на плате еще в 5 раз.</w:t>
      </w:r>
    </w:p>
    <w:p w:rsidR="00BC0D61" w:rsidRPr="005942AE" w:rsidRDefault="00F42AE4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noProof/>
          <w:sz w:val="28"/>
          <w:szCs w:val="28"/>
        </w:rPr>
        <w:pict>
          <v:shape id="_x0000_s1030" type="#_x0000_t75" style="position:absolute;left:0;text-align:left;margin-left:169.8pt;margin-top:31pt;width:67pt;height:37.5pt;z-index:251664384" wrapcoords="13224 2107 3086 6322 441 7902 441 12644 10580 18966 13665 19493 16751 19493 21159 17912 20278 10537 11902 10537 20278 6322 19837 2107 13224 2107">
            <v:imagedata r:id="rId13" o:title=""/>
          </v:shape>
          <o:OLEObject Type="Embed" ProgID="Equation.3" ShapeID="_x0000_s1030" DrawAspect="Content" ObjectID="_1471280631" r:id="rId14"/>
        </w:pict>
      </w:r>
      <w:r w:rsidR="00BC0D61" w:rsidRPr="005942AE">
        <w:rPr>
          <w:rFonts w:ascii="Times New Roman" w:hAnsi="Times New Roman" w:cs="Times New Roman"/>
          <w:bCs/>
          <w:sz w:val="28"/>
          <w:szCs w:val="28"/>
        </w:rPr>
        <w:t>Удельная мощность рассеяния определяет тепловую напряженность в объеме и рассчитывается как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где </w:t>
      </w:r>
      <w:proofErr w:type="gramStart"/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P</w:t>
      </w:r>
      <w:proofErr w:type="gramEnd"/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рас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– мощность рассеяния для цифровых структур  составляет </w:t>
      </w:r>
      <w:r w:rsidRPr="005942AE">
        <w:rPr>
          <w:rFonts w:ascii="Times New Roman" w:hAnsi="Times New Roman" w:cs="Times New Roman"/>
          <w:bCs/>
          <w:sz w:val="28"/>
          <w:szCs w:val="28"/>
        </w:rPr>
        <w:br/>
        <w:t>(80…90)% от потребляемой мощности.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В аналоговых ячейках и блоках мощность рассеяния и тепловая напряженность невелики, и тепловой режим обычно нормальный. В устройствах цифрового типа, чем выше требования к быстродействию, тем выше величина потребляемой мощности и выше тепловая напряженность. Для РЭС на </w:t>
      </w:r>
      <w:proofErr w:type="spellStart"/>
      <w:r w:rsidRPr="005942AE">
        <w:rPr>
          <w:rFonts w:ascii="Times New Roman" w:hAnsi="Times New Roman" w:cs="Times New Roman"/>
          <w:bCs/>
          <w:sz w:val="28"/>
          <w:szCs w:val="28"/>
        </w:rPr>
        <w:t>бескорпусных</w:t>
      </w:r>
      <w:proofErr w:type="spell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микросборках эта проблема стоит еще острее, т. к. объем при переходе от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III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к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IV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поколению уменьшается в 5-6 раз.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3. 3.4 Удельная масса конструкции</w:t>
      </w:r>
      <w:proofErr w:type="gramStart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BC0D61" w:rsidRPr="005942AE" w:rsidRDefault="00F42AE4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End"/>
      <w:r w:rsidRPr="005942AE">
        <w:rPr>
          <w:rFonts w:ascii="Times New Roman" w:hAnsi="Times New Roman" w:cs="Times New Roman"/>
          <w:bCs/>
          <w:noProof/>
          <w:sz w:val="28"/>
          <w:szCs w:val="28"/>
        </w:rPr>
        <w:pict>
          <v:shape id="_x0000_s1031" type="#_x0000_t75" style="position:absolute;left:0;text-align:left;margin-left:188.55pt;margin-top:.25pt;width:54.65pt;height:38.5pt;z-index:251665408" wrapcoords="13224 2107 3086 6322 441 7902 441 12644 10580 18966 13665 19493 16751 19493 21159 17912 20278 10537 11902 10537 20278 6322 19837 2107 13224 2107">
            <v:imagedata r:id="rId15" o:title=""/>
          </v:shape>
          <o:OLEObject Type="Embed" ProgID="Equation.3" ShapeID="_x0000_s1031" DrawAspect="Content" ObjectID="_1471280632" r:id="rId16"/>
        </w:pic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42A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.</w:t>
      </w:r>
    </w:p>
    <w:p w:rsidR="00BC0D61" w:rsidRPr="005942AE" w:rsidRDefault="00BC0D61" w:rsidP="00BC0D61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942AE">
        <w:rPr>
          <w:rFonts w:ascii="Times New Roman" w:hAnsi="Times New Roman" w:cs="Times New Roman"/>
          <w:b/>
          <w:bCs/>
          <w:sz w:val="28"/>
          <w:szCs w:val="28"/>
        </w:rPr>
        <w:t>3.4 Относительные показатели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К ним относятся коэффициенты дезинтеграции объема и массы, показатель функционального разукрупнения, величина перегрузки конструкции при вибрациях и ударах, а также многие коэффициенты технологичности конструкции.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В конструкциях РЭА разного уровня компоновки при </w:t>
      </w:r>
      <w:proofErr w:type="spellStart"/>
      <w:r w:rsidRPr="005942AE">
        <w:rPr>
          <w:rFonts w:ascii="Times New Roman" w:hAnsi="Times New Roman" w:cs="Times New Roman"/>
          <w:bCs/>
          <w:sz w:val="28"/>
          <w:szCs w:val="28"/>
        </w:rPr>
        <w:t>корпусировании</w:t>
      </w:r>
      <w:proofErr w:type="spell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ИС, компоновке их в ячейки и далее происходит потеря полезных объемов, </w:t>
      </w:r>
      <w:proofErr w:type="gramStart"/>
      <w:r w:rsidRPr="005942AE">
        <w:rPr>
          <w:rFonts w:ascii="Times New Roman" w:hAnsi="Times New Roman" w:cs="Times New Roman"/>
          <w:bCs/>
          <w:sz w:val="28"/>
          <w:szCs w:val="28"/>
        </w:rPr>
        <w:t>а</w:t>
      </w:r>
      <w:proofErr w:type="gram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следовательно и масс. Оценка потерь, то есть дезинтеграция, производится с помощью коэффициентов дезинтеграции </w:t>
      </w:r>
      <w:proofErr w:type="spellStart"/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q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  <w:lang w:val="en-US"/>
        </w:rPr>
        <w:t>V</w:t>
      </w:r>
      <w:proofErr w:type="spell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и </w:t>
      </w:r>
      <w:proofErr w:type="spellStart"/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q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  <w:lang w:val="en-US"/>
        </w:rPr>
        <w:t>m</w:t>
      </w:r>
      <w:proofErr w:type="spell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соответственно, определяется формулами:</w:t>
      </w:r>
    </w:p>
    <w:p w:rsidR="00BC0D61" w:rsidRPr="005942AE" w:rsidRDefault="00F42AE4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42AE">
        <w:rPr>
          <w:rFonts w:ascii="Times New Roman" w:hAnsi="Times New Roman" w:cs="Times New Roman"/>
          <w:noProof/>
          <w:sz w:val="28"/>
          <w:szCs w:val="28"/>
        </w:rPr>
        <w:pict>
          <v:shape id="_x0000_s1032" type="#_x0000_t75" style="position:absolute;left:0;text-align:left;margin-left:144.3pt;margin-top:.5pt;width:163.65pt;height:46.75pt;z-index:251666432" wrapcoords="13224 2107 3086 6322 441 7902 441 12644 10580 18966 13665 19493 16751 19493 21159 17912 20278 10537 11902 10537 20278 6322 19837 2107 13224 2107">
            <v:imagedata r:id="rId17" o:title=""/>
          </v:shape>
          <o:OLEObject Type="Embed" ProgID="Equation.3" ShapeID="_x0000_s1032" DrawAspect="Content" ObjectID="_1471280633" r:id="rId18"/>
        </w:pic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где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V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  <w:lang w:val="en-US"/>
        </w:rPr>
        <w:t>N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= ∑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V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СЭ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и </w:t>
      </w:r>
      <w:proofErr w:type="spellStart"/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m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  <w:lang w:val="en-US"/>
        </w:rPr>
        <w:t>N</w:t>
      </w:r>
      <w:proofErr w:type="spell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= ∑</w:t>
      </w:r>
      <w:proofErr w:type="gramStart"/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m</w:t>
      </w:r>
      <w:proofErr w:type="gramEnd"/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СЭ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 – полезные объем и масса схемных элементов.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Коэффициенты дезинтеграции показывают, во сколько раз увеличивается суммарный объем или масса при переходе с одного уровня компоновки </w:t>
      </w:r>
      <w:proofErr w:type="gramStart"/>
      <w:r w:rsidRPr="005942AE">
        <w:rPr>
          <w:rFonts w:ascii="Times New Roman" w:hAnsi="Times New Roman" w:cs="Times New Roman"/>
          <w:bCs/>
          <w:sz w:val="28"/>
          <w:szCs w:val="28"/>
        </w:rPr>
        <w:t>на</w:t>
      </w:r>
      <w:proofErr w:type="gram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более высокий. Коэффициенты дезинтеграции, как и плотность упаковки, реально отражают качество конструкции и могут использоваться для сравнения конструкций, относящихся к одному поколению и одному уровню иерархии.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lastRenderedPageBreak/>
        <w:t>Существуют таблицы средних значений этих коэффициентов и коэффициентов удельной массы для наиболее типовых конструкций разных поколений и различного назначения.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Показатель функционального разукрупнения (ПФР) конструкции представляет собой отношение количества элементов в конструкции к количеству выводов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B</w:t>
      </w:r>
    </w:p>
    <w:p w:rsidR="00BC0D61" w:rsidRPr="005942AE" w:rsidRDefault="00F42AE4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42AE">
        <w:rPr>
          <w:rFonts w:ascii="Times New Roman" w:hAnsi="Times New Roman" w:cs="Times New Roman"/>
          <w:noProof/>
          <w:sz w:val="28"/>
          <w:szCs w:val="28"/>
        </w:rPr>
        <w:pict>
          <v:shape id="_x0000_s1033" type="#_x0000_t75" style="position:absolute;left:0;text-align:left;margin-left:165.3pt;margin-top:.9pt;width:71.25pt;height:40.15pt;z-index:251667456" wrapcoords="13224 2107 3086 6322 441 7902 441 12644 10580 18966 13665 19493 16751 19493 21159 17912 20278 10537 11902 10537 20278 6322 19837 2107 13224 2107">
            <v:imagedata r:id="rId19" o:title=""/>
          </v:shape>
          <o:OLEObject Type="Embed" ProgID="Equation.3" ShapeID="_x0000_s1033" DrawAspect="Content" ObjectID="_1471280634" r:id="rId20"/>
        </w:pic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Чем выше ПФР, тем меньше монтажных соединений, тем выше надежность и меньше масса и габариты.</w:t>
      </w:r>
    </w:p>
    <w:p w:rsidR="00BC0D61" w:rsidRPr="005942AE" w:rsidRDefault="00F42AE4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noProof/>
          <w:sz w:val="28"/>
          <w:szCs w:val="28"/>
        </w:rPr>
        <w:pict>
          <v:shape id="_x0000_s1034" type="#_x0000_t75" style="position:absolute;left:0;text-align:left;margin-left:187.3pt;margin-top:63.6pt;width:45pt;height:41.25pt;z-index:251668480" wrapcoords="13224 2107 3086 6322 441 7902 441 12644 10580 18966 13665 19493 16751 19493 21159 17912 20278 10537 11902 10537 20278 6322 19837 2107 13224 2107">
            <v:imagedata r:id="rId21" o:title=""/>
          </v:shape>
          <o:OLEObject Type="Embed" ProgID="Equation.3" ShapeID="_x0000_s1034" DrawAspect="Content" ObjectID="_1471280635" r:id="rId22"/>
        </w:pict>
      </w:r>
      <w:r w:rsidR="00BC0D61" w:rsidRPr="005942AE">
        <w:rPr>
          <w:rFonts w:ascii="Times New Roman" w:hAnsi="Times New Roman" w:cs="Times New Roman"/>
          <w:bCs/>
          <w:sz w:val="28"/>
          <w:szCs w:val="28"/>
        </w:rPr>
        <w:t xml:space="preserve">Перегрузка </w:t>
      </w:r>
      <w:r w:rsidR="00BC0D61" w:rsidRPr="005942AE">
        <w:rPr>
          <w:rFonts w:ascii="Times New Roman" w:hAnsi="Times New Roman" w:cs="Times New Roman"/>
          <w:b/>
          <w:bCs/>
          <w:i/>
          <w:sz w:val="28"/>
          <w:szCs w:val="28"/>
          <w:lang w:val="en-US"/>
        </w:rPr>
        <w:t>n</w:t>
      </w:r>
      <w:r w:rsidR="00BC0D61" w:rsidRPr="005942AE">
        <w:rPr>
          <w:rFonts w:ascii="Times New Roman" w:hAnsi="Times New Roman" w:cs="Times New Roman"/>
          <w:bCs/>
          <w:sz w:val="28"/>
          <w:szCs w:val="28"/>
        </w:rPr>
        <w:t xml:space="preserve"> действующих на конструкцию вибраций или ударов определяется как отношение возникающего от воздействия ускорения масс элементов конструкции к ускорению свободного падения.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где а – ускорение при вибрации.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5942AE">
        <w:rPr>
          <w:rFonts w:ascii="Times New Roman" w:hAnsi="Times New Roman" w:cs="Times New Roman"/>
          <w:bCs/>
          <w:sz w:val="28"/>
          <w:szCs w:val="28"/>
        </w:rPr>
        <w:t>Вибр</w:t>
      </w:r>
      <w:proofErr w:type="gramStart"/>
      <w:r w:rsidRPr="005942AE">
        <w:rPr>
          <w:rFonts w:ascii="Times New Roman" w:hAnsi="Times New Roman" w:cs="Times New Roman"/>
          <w:bCs/>
          <w:sz w:val="28"/>
          <w:szCs w:val="28"/>
        </w:rPr>
        <w:t>о</w:t>
      </w:r>
      <w:proofErr w:type="spellEnd"/>
      <w:r w:rsidRPr="005942AE">
        <w:rPr>
          <w:rFonts w:ascii="Times New Roman" w:hAnsi="Times New Roman" w:cs="Times New Roman"/>
          <w:bCs/>
          <w:sz w:val="28"/>
          <w:szCs w:val="28"/>
        </w:rPr>
        <w:t>-</w:t>
      </w:r>
      <w:proofErr w:type="gram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 и </w:t>
      </w:r>
      <w:proofErr w:type="spellStart"/>
      <w:r w:rsidRPr="005942AE">
        <w:rPr>
          <w:rFonts w:ascii="Times New Roman" w:hAnsi="Times New Roman" w:cs="Times New Roman"/>
          <w:bCs/>
          <w:sz w:val="28"/>
          <w:szCs w:val="28"/>
        </w:rPr>
        <w:t>ударопрочность</w:t>
      </w:r>
      <w:proofErr w:type="spell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конструкции определяются допустимыми перегрузками при ударах и вибрациях, которые могут выдержать конструкции без разрушения. Для этого необходимо, чтобы реально возникающие перегрузки не превышали предельно допустимые для конкретной конструкции.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Коэффициенты технологичности: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- коэффициент стандартизации </w:t>
      </w:r>
    </w:p>
    <w:p w:rsidR="00BC0D61" w:rsidRPr="005942AE" w:rsidRDefault="00F42AE4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42AE">
        <w:rPr>
          <w:rFonts w:ascii="Times New Roman" w:hAnsi="Times New Roman" w:cs="Times New Roman"/>
          <w:noProof/>
          <w:sz w:val="28"/>
          <w:szCs w:val="28"/>
        </w:rPr>
        <w:pict>
          <v:shape id="_x0000_s1035" type="#_x0000_t75" style="position:absolute;left:0;text-align:left;margin-left:180.3pt;margin-top:3.05pt;width:52pt;height:31.95pt;z-index:251669504" wrapcoords="13224 2107 3086 6322 441 7902 441 12644 10580 18966 13665 19493 16751 19493 21159 17912 20278 10537 11902 10537 20278 6322 19837 2107 13224 2107">
            <v:imagedata r:id="rId23" o:title=""/>
          </v:shape>
          <o:OLEObject Type="Embed" ProgID="Equation.3" ShapeID="_x0000_s1035" DrawAspect="Content" ObjectID="_1471280636" r:id="rId24"/>
        </w:pic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где </w:t>
      </w:r>
      <w:proofErr w:type="spellStart"/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r w:rsidRPr="005942AE">
        <w:rPr>
          <w:rFonts w:ascii="Times New Roman" w:hAnsi="Times New Roman" w:cs="Times New Roman"/>
          <w:bCs/>
          <w:sz w:val="28"/>
          <w:szCs w:val="28"/>
          <w:vertAlign w:val="subscript"/>
          <w:lang w:val="en-US"/>
        </w:rPr>
        <w:t>c</w:t>
      </w:r>
      <w:proofErr w:type="spell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– число стандартных деталей;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- коэффициент </w:t>
      </w:r>
      <w:proofErr w:type="spellStart"/>
      <w:r w:rsidRPr="005942AE">
        <w:rPr>
          <w:rFonts w:ascii="Times New Roman" w:hAnsi="Times New Roman" w:cs="Times New Roman"/>
          <w:bCs/>
          <w:sz w:val="28"/>
          <w:szCs w:val="28"/>
        </w:rPr>
        <w:t>приемственности</w:t>
      </w:r>
      <w:proofErr w:type="spellEnd"/>
    </w:p>
    <w:p w:rsidR="00BC0D61" w:rsidRPr="005942AE" w:rsidRDefault="00F42AE4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42AE">
        <w:rPr>
          <w:rFonts w:ascii="Times New Roman" w:hAnsi="Times New Roman" w:cs="Times New Roman"/>
          <w:noProof/>
          <w:sz w:val="28"/>
          <w:szCs w:val="28"/>
        </w:rPr>
        <w:lastRenderedPageBreak/>
        <w:pict>
          <v:shape id="_x0000_s1036" type="#_x0000_t75" style="position:absolute;left:0;text-align:left;margin-left:183.3pt;margin-top:3.45pt;width:52pt;height:31.95pt;z-index:251670528" wrapcoords="13224 2107 3086 6322 441 7902 441 12644 10580 18966 13665 19493 16751 19493 21159 17912 20278 10537 11902 10537 20278 6322 19837 2107 13224 2107">
            <v:imagedata r:id="rId25" o:title=""/>
          </v:shape>
          <o:OLEObject Type="Embed" ProgID="Equation.3" ShapeID="_x0000_s1036" DrawAspect="Content" ObjectID="_1471280637" r:id="rId26"/>
        </w:pic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где </w:t>
      </w:r>
      <w:proofErr w:type="gramStart"/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proofErr w:type="spellStart"/>
      <w:proofErr w:type="gramEnd"/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з</w:t>
      </w:r>
      <w:proofErr w:type="spell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– число заимствованных деталей;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- коэффициент использования материалов</w:t>
      </w:r>
    </w:p>
    <w:p w:rsidR="00BC0D61" w:rsidRPr="005942AE" w:rsidRDefault="00F42AE4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42AE">
        <w:rPr>
          <w:rFonts w:ascii="Times New Roman" w:hAnsi="Times New Roman" w:cs="Times New Roman"/>
          <w:noProof/>
          <w:sz w:val="28"/>
          <w:szCs w:val="28"/>
        </w:rPr>
        <w:pict>
          <v:shape id="_x0000_s1037" type="#_x0000_t75" style="position:absolute;left:0;text-align:left;margin-left:180.3pt;margin-top:2.45pt;width:58pt;height:35pt;z-index:251671552" wrapcoords="13224 2107 3086 6322 441 7902 441 12644 10580 18966 13665 19493 16751 19493 21159 17912 20278 10537 11902 10537 20278 6322 19837 2107 13224 2107">
            <v:imagedata r:id="rId27" o:title=""/>
          </v:shape>
          <o:OLEObject Type="Embed" ProgID="Equation.3" ShapeID="_x0000_s1037" DrawAspect="Content" ObjectID="_1471280638" r:id="rId28"/>
        </w:pic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 xml:space="preserve">где </w:t>
      </w:r>
      <w:proofErr w:type="gramStart"/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Q</w:t>
      </w:r>
      <w:proofErr w:type="spellStart"/>
      <w:proofErr w:type="gramEnd"/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д</w:t>
      </w:r>
      <w:proofErr w:type="spell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и </w:t>
      </w:r>
      <w:r w:rsidRPr="005942AE">
        <w:rPr>
          <w:rFonts w:ascii="Times New Roman" w:hAnsi="Times New Roman" w:cs="Times New Roman"/>
          <w:bCs/>
          <w:sz w:val="28"/>
          <w:szCs w:val="28"/>
          <w:lang w:val="en-US"/>
        </w:rPr>
        <w:t>Q</w:t>
      </w:r>
      <w:proofErr w:type="spellStart"/>
      <w:r w:rsidRPr="005942AE">
        <w:rPr>
          <w:rFonts w:ascii="Times New Roman" w:hAnsi="Times New Roman" w:cs="Times New Roman"/>
          <w:bCs/>
          <w:sz w:val="28"/>
          <w:szCs w:val="28"/>
          <w:vertAlign w:val="subscript"/>
        </w:rPr>
        <w:t>з</w:t>
      </w:r>
      <w:proofErr w:type="spell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– масса детали и заготовки</w:t>
      </w:r>
      <w:r w:rsidRPr="005942A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0D61" w:rsidRPr="005942AE" w:rsidRDefault="00BC0D61" w:rsidP="00BC0D61">
      <w:pPr>
        <w:ind w:left="284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BC0D61" w:rsidRPr="005942AE" w:rsidRDefault="00BC0D61" w:rsidP="00BC0D61">
      <w:pPr>
        <w:ind w:left="284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4 ОБЩИЕ ВОПРОСЫ КОНСТРУИРОВАНИЯ РЭС</w:t>
      </w:r>
    </w:p>
    <w:p w:rsidR="00BC0D61" w:rsidRPr="005942AE" w:rsidRDefault="00BC0D61" w:rsidP="00BC0D61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942AE">
        <w:rPr>
          <w:rFonts w:ascii="Times New Roman" w:hAnsi="Times New Roman" w:cs="Times New Roman"/>
          <w:b/>
          <w:bCs/>
          <w:sz w:val="28"/>
          <w:szCs w:val="28"/>
        </w:rPr>
        <w:t>4.1 Виды изделий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По ГОСТ 2.101 все предметы, подлежащие изготовлению на производстве, называются изделием. Виды изделий: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5942AE">
        <w:rPr>
          <w:rFonts w:ascii="Times New Roman" w:hAnsi="Times New Roman" w:cs="Times New Roman"/>
          <w:bCs/>
          <w:iCs/>
          <w:sz w:val="28"/>
          <w:szCs w:val="28"/>
        </w:rPr>
        <w:t>- деталь (</w:t>
      </w:r>
      <w:proofErr w:type="spellStart"/>
      <w:r w:rsidRPr="005942AE">
        <w:rPr>
          <w:rFonts w:ascii="Times New Roman" w:hAnsi="Times New Roman" w:cs="Times New Roman"/>
          <w:bCs/>
          <w:iCs/>
          <w:sz w:val="28"/>
          <w:szCs w:val="28"/>
        </w:rPr>
        <w:t>неспецифицированное</w:t>
      </w:r>
      <w:proofErr w:type="spellEnd"/>
      <w:r w:rsidRPr="005942AE">
        <w:rPr>
          <w:rFonts w:ascii="Times New Roman" w:hAnsi="Times New Roman" w:cs="Times New Roman"/>
          <w:bCs/>
          <w:iCs/>
          <w:sz w:val="28"/>
          <w:szCs w:val="28"/>
        </w:rPr>
        <w:t xml:space="preserve"> изделие);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5942AE">
        <w:rPr>
          <w:rFonts w:ascii="Times New Roman" w:hAnsi="Times New Roman" w:cs="Times New Roman"/>
          <w:bCs/>
          <w:iCs/>
          <w:sz w:val="28"/>
          <w:szCs w:val="28"/>
        </w:rPr>
        <w:t>- сборочная единица (специфицированное изделие);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5942AE">
        <w:rPr>
          <w:rFonts w:ascii="Times New Roman" w:hAnsi="Times New Roman" w:cs="Times New Roman"/>
          <w:bCs/>
          <w:iCs/>
          <w:sz w:val="28"/>
          <w:szCs w:val="28"/>
        </w:rPr>
        <w:t>- комплекс;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5942AE">
        <w:rPr>
          <w:rFonts w:ascii="Times New Roman" w:hAnsi="Times New Roman" w:cs="Times New Roman"/>
          <w:bCs/>
          <w:iCs/>
          <w:sz w:val="28"/>
          <w:szCs w:val="28"/>
        </w:rPr>
        <w:t>- комплект.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Разработка конструкторской документации (КД) определяется стандартами ЕСКД – комплексом стандартов, устанавливающих требования и правила к разработке, оформлению и обращению КД.</w:t>
      </w:r>
    </w:p>
    <w:p w:rsidR="00BC0D61" w:rsidRPr="005942AE" w:rsidRDefault="00BC0D61" w:rsidP="00BC0D61">
      <w:pPr>
        <w:ind w:left="284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5942AE">
        <w:rPr>
          <w:rFonts w:ascii="Times New Roman" w:hAnsi="Times New Roman" w:cs="Times New Roman"/>
          <w:b/>
          <w:iCs/>
          <w:sz w:val="28"/>
          <w:szCs w:val="28"/>
        </w:rPr>
        <w:t>4.2 Группы стандартов ЕСКД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ГОСТ 2.001-2.099</w:t>
      </w:r>
      <w:r w:rsidRPr="005942AE">
        <w:rPr>
          <w:rFonts w:ascii="Times New Roman" w:hAnsi="Times New Roman" w:cs="Times New Roman"/>
          <w:sz w:val="28"/>
          <w:szCs w:val="28"/>
        </w:rPr>
        <w:t xml:space="preserve">  </w:t>
      </w:r>
      <w:r w:rsidRPr="005942AE">
        <w:rPr>
          <w:rFonts w:ascii="Times New Roman" w:hAnsi="Times New Roman" w:cs="Times New Roman"/>
          <w:bCs/>
          <w:sz w:val="28"/>
          <w:szCs w:val="28"/>
        </w:rPr>
        <w:t>Общие положения.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ГОСТ 2.101-2.199</w:t>
      </w:r>
      <w:r w:rsidRPr="005942AE">
        <w:rPr>
          <w:rFonts w:ascii="Times New Roman" w:hAnsi="Times New Roman" w:cs="Times New Roman"/>
          <w:sz w:val="28"/>
          <w:szCs w:val="28"/>
        </w:rPr>
        <w:t xml:space="preserve">  </w:t>
      </w:r>
      <w:r w:rsidRPr="005942AE">
        <w:rPr>
          <w:rFonts w:ascii="Times New Roman" w:hAnsi="Times New Roman" w:cs="Times New Roman"/>
          <w:bCs/>
          <w:sz w:val="28"/>
          <w:szCs w:val="28"/>
        </w:rPr>
        <w:t>Основные положения.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ГОСТ 2.201-2.299</w:t>
      </w:r>
      <w:r w:rsidRPr="005942AE">
        <w:rPr>
          <w:rFonts w:ascii="Times New Roman" w:hAnsi="Times New Roman" w:cs="Times New Roman"/>
          <w:sz w:val="28"/>
          <w:szCs w:val="28"/>
        </w:rPr>
        <w:t xml:space="preserve"> </w:t>
      </w:r>
      <w:r w:rsidRPr="005942AE">
        <w:rPr>
          <w:rFonts w:ascii="Times New Roman" w:hAnsi="Times New Roman" w:cs="Times New Roman"/>
          <w:bCs/>
          <w:sz w:val="28"/>
          <w:szCs w:val="28"/>
        </w:rPr>
        <w:t>Классификация и обозначение изделий.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ГОСТ 2.301-2.399</w:t>
      </w:r>
      <w:r w:rsidRPr="005942AE">
        <w:rPr>
          <w:rFonts w:ascii="Times New Roman" w:hAnsi="Times New Roman" w:cs="Times New Roman"/>
          <w:sz w:val="28"/>
          <w:szCs w:val="28"/>
        </w:rPr>
        <w:t xml:space="preserve"> </w:t>
      </w:r>
      <w:r w:rsidRPr="005942AE">
        <w:rPr>
          <w:rFonts w:ascii="Times New Roman" w:hAnsi="Times New Roman" w:cs="Times New Roman"/>
          <w:bCs/>
          <w:sz w:val="28"/>
          <w:szCs w:val="28"/>
        </w:rPr>
        <w:t>Общие правила выполнения чертежей.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ГОСТ 2.501-2.599</w:t>
      </w:r>
      <w:r w:rsidRPr="005942AE">
        <w:rPr>
          <w:rFonts w:ascii="Times New Roman" w:hAnsi="Times New Roman" w:cs="Times New Roman"/>
          <w:sz w:val="28"/>
          <w:szCs w:val="28"/>
        </w:rPr>
        <w:t xml:space="preserve">  </w:t>
      </w:r>
      <w:r w:rsidRPr="005942AE">
        <w:rPr>
          <w:rFonts w:ascii="Times New Roman" w:hAnsi="Times New Roman" w:cs="Times New Roman"/>
          <w:bCs/>
          <w:sz w:val="28"/>
          <w:szCs w:val="28"/>
        </w:rPr>
        <w:t>Правила обращения КД.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lastRenderedPageBreak/>
        <w:t>ГОСТ 2.601-2.699</w:t>
      </w:r>
      <w:r w:rsidRPr="005942AE">
        <w:rPr>
          <w:rFonts w:ascii="Times New Roman" w:hAnsi="Times New Roman" w:cs="Times New Roman"/>
          <w:sz w:val="28"/>
          <w:szCs w:val="28"/>
        </w:rPr>
        <w:t xml:space="preserve"> </w:t>
      </w:r>
      <w:r w:rsidRPr="005942AE">
        <w:rPr>
          <w:rFonts w:ascii="Times New Roman" w:hAnsi="Times New Roman" w:cs="Times New Roman"/>
          <w:bCs/>
          <w:sz w:val="28"/>
          <w:szCs w:val="28"/>
        </w:rPr>
        <w:t>Правила выполнения эксплуатационной и ремонтной документации.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ГОСТ 2.701-2.799</w:t>
      </w:r>
      <w:r w:rsidRPr="005942AE">
        <w:rPr>
          <w:rFonts w:ascii="Times New Roman" w:hAnsi="Times New Roman" w:cs="Times New Roman"/>
          <w:sz w:val="28"/>
          <w:szCs w:val="28"/>
        </w:rPr>
        <w:t xml:space="preserve"> </w:t>
      </w:r>
      <w:r w:rsidRPr="005942AE">
        <w:rPr>
          <w:rFonts w:ascii="Times New Roman" w:hAnsi="Times New Roman" w:cs="Times New Roman"/>
          <w:bCs/>
          <w:sz w:val="28"/>
          <w:szCs w:val="28"/>
        </w:rPr>
        <w:t>Правила выполнения схем и УГО.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ГОСТ 2.801-2.899</w:t>
      </w:r>
      <w:r w:rsidRPr="005942AE">
        <w:rPr>
          <w:rFonts w:ascii="Times New Roman" w:hAnsi="Times New Roman" w:cs="Times New Roman"/>
          <w:sz w:val="28"/>
          <w:szCs w:val="28"/>
        </w:rPr>
        <w:t xml:space="preserve"> </w:t>
      </w:r>
      <w:r w:rsidRPr="005942AE">
        <w:rPr>
          <w:rFonts w:ascii="Times New Roman" w:hAnsi="Times New Roman" w:cs="Times New Roman"/>
          <w:bCs/>
          <w:sz w:val="28"/>
          <w:szCs w:val="28"/>
        </w:rPr>
        <w:t>Правила выполнения строительных чертежей.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ГОСТ 2.901-2.999</w:t>
      </w:r>
      <w:proofErr w:type="gramStart"/>
      <w:r w:rsidRPr="005942AE">
        <w:rPr>
          <w:rFonts w:ascii="Times New Roman" w:hAnsi="Times New Roman" w:cs="Times New Roman"/>
          <w:sz w:val="28"/>
          <w:szCs w:val="28"/>
        </w:rPr>
        <w:t xml:space="preserve"> </w:t>
      </w:r>
      <w:r w:rsidRPr="005942AE">
        <w:rPr>
          <w:rFonts w:ascii="Times New Roman" w:hAnsi="Times New Roman" w:cs="Times New Roman"/>
          <w:bCs/>
          <w:sz w:val="28"/>
          <w:szCs w:val="28"/>
        </w:rPr>
        <w:t>П</w:t>
      </w:r>
      <w:proofErr w:type="gramEnd"/>
      <w:r w:rsidRPr="005942AE">
        <w:rPr>
          <w:rFonts w:ascii="Times New Roman" w:hAnsi="Times New Roman" w:cs="Times New Roman"/>
          <w:bCs/>
          <w:sz w:val="28"/>
          <w:szCs w:val="28"/>
        </w:rPr>
        <w:t>рочие стандарты.</w:t>
      </w:r>
    </w:p>
    <w:p w:rsidR="00BC0D61" w:rsidRPr="005942AE" w:rsidRDefault="00BC0D61" w:rsidP="00BC0D61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942AE">
        <w:rPr>
          <w:rFonts w:ascii="Times New Roman" w:hAnsi="Times New Roman" w:cs="Times New Roman"/>
          <w:b/>
          <w:bCs/>
          <w:sz w:val="28"/>
          <w:szCs w:val="28"/>
        </w:rPr>
        <w:t>4.2 Стадии разработки изделий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По ГОСТ 2.103 (ред.1996г.) предусматриваются следующие стадии: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5942AE">
        <w:rPr>
          <w:rFonts w:ascii="Times New Roman" w:hAnsi="Times New Roman" w:cs="Times New Roman"/>
          <w:bCs/>
          <w:iCs/>
          <w:sz w:val="28"/>
          <w:szCs w:val="28"/>
        </w:rPr>
        <w:t>- техническое предложение;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5942AE">
        <w:rPr>
          <w:rFonts w:ascii="Times New Roman" w:hAnsi="Times New Roman" w:cs="Times New Roman"/>
          <w:bCs/>
          <w:iCs/>
          <w:sz w:val="28"/>
          <w:szCs w:val="28"/>
        </w:rPr>
        <w:t>- эскизный проект;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5942AE">
        <w:rPr>
          <w:rFonts w:ascii="Times New Roman" w:hAnsi="Times New Roman" w:cs="Times New Roman"/>
          <w:bCs/>
          <w:iCs/>
          <w:sz w:val="28"/>
          <w:szCs w:val="28"/>
        </w:rPr>
        <w:t>- технический проект;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5942AE">
        <w:rPr>
          <w:rFonts w:ascii="Times New Roman" w:hAnsi="Times New Roman" w:cs="Times New Roman"/>
          <w:bCs/>
          <w:iCs/>
          <w:sz w:val="28"/>
          <w:szCs w:val="28"/>
        </w:rPr>
        <w:t>- рабочая конструкторская документация.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5942AE">
        <w:rPr>
          <w:rFonts w:ascii="Times New Roman" w:hAnsi="Times New Roman" w:cs="Times New Roman"/>
          <w:bCs/>
          <w:iCs/>
          <w:sz w:val="28"/>
          <w:szCs w:val="28"/>
        </w:rPr>
        <w:t>Техническое предложение –</w:t>
      </w:r>
      <w:r w:rsidRPr="005942AE">
        <w:rPr>
          <w:rFonts w:ascii="Times New Roman" w:hAnsi="Times New Roman" w:cs="Times New Roman"/>
          <w:sz w:val="28"/>
          <w:szCs w:val="28"/>
        </w:rPr>
        <w:t xml:space="preserve"> </w:t>
      </w:r>
      <w:r w:rsidRPr="005942AE">
        <w:rPr>
          <w:rFonts w:ascii="Times New Roman" w:hAnsi="Times New Roman" w:cs="Times New Roman"/>
          <w:bCs/>
          <w:sz w:val="28"/>
          <w:szCs w:val="28"/>
        </w:rPr>
        <w:t>совокупность документов, которые содержат техническое и технико-экономическое обоснование целесообразности разработки на основе анализа технического задания и различных вариантов возможных решений. Литера П.  Состав и объем работ по ГОСТ 2.118.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iCs/>
          <w:sz w:val="28"/>
          <w:szCs w:val="28"/>
        </w:rPr>
        <w:t>Эскизный проект</w:t>
      </w:r>
      <w:r w:rsidRPr="005942AE">
        <w:rPr>
          <w:rFonts w:ascii="Times New Roman" w:hAnsi="Times New Roman" w:cs="Times New Roman"/>
          <w:sz w:val="28"/>
          <w:szCs w:val="28"/>
        </w:rPr>
        <w:t xml:space="preserve"> </w:t>
      </w:r>
      <w:r w:rsidRPr="005942AE">
        <w:rPr>
          <w:rFonts w:ascii="Times New Roman" w:hAnsi="Times New Roman" w:cs="Times New Roman"/>
          <w:bCs/>
          <w:sz w:val="28"/>
          <w:szCs w:val="28"/>
        </w:rPr>
        <w:t>– совокупность конструкторских документов, которые должны содержать принципиальные конструктивные решения, дающие представление об устройстве и принципе работы изделия, основные параметры, габариты. Литера Э. Состав и объем работ по ГОСТ 2.119.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iCs/>
          <w:sz w:val="28"/>
          <w:szCs w:val="28"/>
        </w:rPr>
        <w:t>Технический проект</w:t>
      </w:r>
      <w:r w:rsidRPr="005942AE">
        <w:rPr>
          <w:rFonts w:ascii="Times New Roman" w:hAnsi="Times New Roman" w:cs="Times New Roman"/>
          <w:sz w:val="28"/>
          <w:szCs w:val="28"/>
        </w:rPr>
        <w:t xml:space="preserve"> – </w:t>
      </w:r>
      <w:r w:rsidRPr="005942AE">
        <w:rPr>
          <w:rFonts w:ascii="Times New Roman" w:hAnsi="Times New Roman" w:cs="Times New Roman"/>
          <w:bCs/>
          <w:sz w:val="28"/>
          <w:szCs w:val="28"/>
        </w:rPr>
        <w:t>совокупность конструкторских документов, которые должны содержать окончательное техническое решение, дающее полное представление об устройстве разрабатываемого изделия и все необходимые данные для разработки рабочей конструкторской документации. Литера Т. Состав и объем работ по ГОСТ 2.120.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5942AE">
        <w:rPr>
          <w:rFonts w:ascii="Times New Roman" w:hAnsi="Times New Roman" w:cs="Times New Roman"/>
          <w:bCs/>
          <w:iCs/>
          <w:sz w:val="28"/>
          <w:szCs w:val="28"/>
        </w:rPr>
        <w:t>Рабочая конструкторская документация</w:t>
      </w:r>
      <w:r w:rsidRPr="005942AE">
        <w:rPr>
          <w:rFonts w:ascii="Times New Roman" w:hAnsi="Times New Roman" w:cs="Times New Roman"/>
          <w:sz w:val="28"/>
          <w:szCs w:val="28"/>
        </w:rPr>
        <w:t xml:space="preserve"> – </w:t>
      </w:r>
      <w:r w:rsidRPr="005942AE">
        <w:rPr>
          <w:rFonts w:ascii="Times New Roman" w:hAnsi="Times New Roman" w:cs="Times New Roman"/>
          <w:bCs/>
          <w:sz w:val="28"/>
          <w:szCs w:val="28"/>
        </w:rPr>
        <w:t xml:space="preserve">все документы, </w:t>
      </w:r>
      <w:r w:rsidRPr="005942AE">
        <w:rPr>
          <w:rFonts w:ascii="Times New Roman" w:hAnsi="Times New Roman" w:cs="Times New Roman"/>
          <w:sz w:val="28"/>
          <w:szCs w:val="28"/>
        </w:rPr>
        <w:t xml:space="preserve"> </w:t>
      </w:r>
      <w:r w:rsidRPr="005942AE">
        <w:rPr>
          <w:rFonts w:ascii="Times New Roman" w:hAnsi="Times New Roman" w:cs="Times New Roman"/>
          <w:bCs/>
          <w:sz w:val="28"/>
          <w:szCs w:val="28"/>
        </w:rPr>
        <w:t>необходимые для изготовления, испытаний, контроля, эксплуатации, транспортировки, хранения и ремонта.</w:t>
      </w:r>
      <w:proofErr w:type="gramEnd"/>
      <w:r w:rsidRPr="005942AE">
        <w:rPr>
          <w:rFonts w:ascii="Times New Roman" w:hAnsi="Times New Roman" w:cs="Times New Roman"/>
          <w:bCs/>
          <w:sz w:val="28"/>
          <w:szCs w:val="28"/>
        </w:rPr>
        <w:t xml:space="preserve"> Литеры 01- опытная партия, 02 – установочная партия.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42AE">
        <w:rPr>
          <w:rFonts w:ascii="Times New Roman" w:hAnsi="Times New Roman" w:cs="Times New Roman"/>
          <w:bCs/>
          <w:iCs/>
          <w:sz w:val="28"/>
          <w:szCs w:val="28"/>
        </w:rPr>
        <w:t>К рабочей конструкторской документации относятся: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lastRenderedPageBreak/>
        <w:t>- чертеж детали (шифра не имеет);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- сборочный чертеж (</w:t>
      </w:r>
      <w:proofErr w:type="gramStart"/>
      <w:r w:rsidRPr="005942AE">
        <w:rPr>
          <w:rFonts w:ascii="Times New Roman" w:hAnsi="Times New Roman" w:cs="Times New Roman"/>
          <w:bCs/>
          <w:sz w:val="28"/>
          <w:szCs w:val="28"/>
        </w:rPr>
        <w:t>СБ</w:t>
      </w:r>
      <w:proofErr w:type="gramEnd"/>
      <w:r w:rsidRPr="005942AE">
        <w:rPr>
          <w:rFonts w:ascii="Times New Roman" w:hAnsi="Times New Roman" w:cs="Times New Roman"/>
          <w:bCs/>
          <w:sz w:val="28"/>
          <w:szCs w:val="28"/>
        </w:rPr>
        <w:t>);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- габаритный чертеж (ГЧ);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- монтажный чертеж (МЧ);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- схемы (шифры в зависимости от вида и типа схемы);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- спецификации (шифра нет);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- ведомость спецификаций (</w:t>
      </w:r>
      <w:proofErr w:type="gramStart"/>
      <w:r w:rsidRPr="005942AE">
        <w:rPr>
          <w:rFonts w:ascii="Times New Roman" w:hAnsi="Times New Roman" w:cs="Times New Roman"/>
          <w:bCs/>
          <w:sz w:val="28"/>
          <w:szCs w:val="28"/>
        </w:rPr>
        <w:t>ВС</w:t>
      </w:r>
      <w:proofErr w:type="gramEnd"/>
      <w:r w:rsidRPr="005942AE">
        <w:rPr>
          <w:rFonts w:ascii="Times New Roman" w:hAnsi="Times New Roman" w:cs="Times New Roman"/>
          <w:bCs/>
          <w:sz w:val="28"/>
          <w:szCs w:val="28"/>
        </w:rPr>
        <w:t>);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- ведомость покупных изделий (ВП);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- технические условия (ТУ);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- эксплуатационные документы (инструкция по эксплуатации, техническое описание, паспорт);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- ремонтные документы.</w:t>
      </w:r>
    </w:p>
    <w:p w:rsidR="00BC0D61" w:rsidRPr="005942AE" w:rsidRDefault="00BC0D61" w:rsidP="00BC0D61">
      <w:pPr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42AE">
        <w:rPr>
          <w:rFonts w:ascii="Times New Roman" w:hAnsi="Times New Roman" w:cs="Times New Roman"/>
          <w:b/>
          <w:bCs/>
          <w:iCs/>
          <w:sz w:val="28"/>
          <w:szCs w:val="28"/>
        </w:rPr>
        <w:t>4.3 Схемы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Схема </w:t>
      </w:r>
      <w:r w:rsidRPr="005942A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5942AE">
        <w:rPr>
          <w:rFonts w:ascii="Times New Roman" w:hAnsi="Times New Roman" w:cs="Times New Roman"/>
          <w:sz w:val="28"/>
          <w:szCs w:val="28"/>
        </w:rPr>
        <w:t xml:space="preserve"> </w:t>
      </w:r>
      <w:r w:rsidRPr="005942AE">
        <w:rPr>
          <w:rFonts w:ascii="Times New Roman" w:hAnsi="Times New Roman" w:cs="Times New Roman"/>
          <w:bCs/>
          <w:sz w:val="28"/>
          <w:szCs w:val="28"/>
        </w:rPr>
        <w:t>это конструкторский документ, на котором показаны в виде условных изображений или обозначений составные части изделия и связи между ними. По ГОСТ 2.701  в зависимости от видов элементов и связей схемы подразделяются на пять видов и семь типов: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5942AE">
        <w:rPr>
          <w:rFonts w:ascii="Times New Roman" w:hAnsi="Times New Roman" w:cs="Times New Roman"/>
          <w:bCs/>
          <w:iCs/>
          <w:sz w:val="28"/>
          <w:szCs w:val="28"/>
        </w:rPr>
        <w:t>Виды  схем: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Электрические (Э)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Гидравлические (Г)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Пневматические (П)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Кинематические (К)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Оптические (О)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5942AE">
        <w:rPr>
          <w:rFonts w:ascii="Times New Roman" w:hAnsi="Times New Roman" w:cs="Times New Roman"/>
          <w:bCs/>
          <w:iCs/>
          <w:sz w:val="28"/>
          <w:szCs w:val="28"/>
        </w:rPr>
        <w:t>Типы схем: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Структурные (1)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Функциональные (2)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Принципиальные (3)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lastRenderedPageBreak/>
        <w:t>Монтажные (4)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Подключения (5)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Общие (6)</w:t>
      </w:r>
    </w:p>
    <w:p w:rsidR="00BC0D61" w:rsidRPr="005942AE" w:rsidRDefault="00BC0D61" w:rsidP="00BC0D61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sz w:val="28"/>
          <w:szCs w:val="28"/>
        </w:rPr>
        <w:t>Расположения (7)</w:t>
      </w:r>
    </w:p>
    <w:p w:rsidR="00BC0D61" w:rsidRPr="005942AE" w:rsidRDefault="00BC0D61" w:rsidP="00BC0D61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2AE">
        <w:rPr>
          <w:rFonts w:ascii="Times New Roman" w:hAnsi="Times New Roman" w:cs="Times New Roman"/>
          <w:bCs/>
          <w:iCs/>
          <w:sz w:val="28"/>
          <w:szCs w:val="28"/>
        </w:rPr>
        <w:t xml:space="preserve">Пример. </w:t>
      </w:r>
      <w:r w:rsidRPr="005942AE">
        <w:rPr>
          <w:rFonts w:ascii="Times New Roman" w:hAnsi="Times New Roman" w:cs="Times New Roman"/>
          <w:bCs/>
          <w:sz w:val="28"/>
          <w:szCs w:val="28"/>
        </w:rPr>
        <w:t>Схема электрическая принципиальная - 050716 ДП.01.03.Э3</w:t>
      </w:r>
    </w:p>
    <w:p w:rsidR="007446D7" w:rsidRPr="005942AE" w:rsidRDefault="007446D7">
      <w:pPr>
        <w:rPr>
          <w:rFonts w:ascii="Times New Roman" w:hAnsi="Times New Roman" w:cs="Times New Roman"/>
          <w:sz w:val="28"/>
          <w:szCs w:val="28"/>
        </w:rPr>
      </w:pPr>
    </w:p>
    <w:sectPr w:rsidR="007446D7" w:rsidRPr="005942AE" w:rsidSect="00F42A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B18DD"/>
    <w:multiLevelType w:val="hybridMultilevel"/>
    <w:tmpl w:val="02B2A72C"/>
    <w:lvl w:ilvl="0" w:tplc="CD060B9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EE6931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5A00F5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5E4BD2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9AE2AB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5E429F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5DE926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DFEED1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724AA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C0D61"/>
    <w:rsid w:val="005916B1"/>
    <w:rsid w:val="005942AE"/>
    <w:rsid w:val="007446D7"/>
    <w:rsid w:val="00BC0D61"/>
    <w:rsid w:val="00F42A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A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1250</Words>
  <Characters>7130</Characters>
  <Application>Microsoft Office Word</Application>
  <DocSecurity>0</DocSecurity>
  <Lines>59</Lines>
  <Paragraphs>16</Paragraphs>
  <ScaleCrop>false</ScaleCrop>
  <Company/>
  <LinksUpToDate>false</LinksUpToDate>
  <CharactersWithSpaces>8364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2013-12-05T06:22:00Z</dcterms:created>
  <dcterms:modified xsi:type="dcterms:W3CDTF">2014-09-03T14:17:00Z</dcterms:modified>
</cp:coreProperties>
</file>