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F71" w:rsidRPr="004E49C8" w:rsidRDefault="00032F71" w:rsidP="00032F71">
      <w:pPr>
        <w:pStyle w:val="a3"/>
        <w:ind w:firstLine="0"/>
        <w:jc w:val="center"/>
      </w:pPr>
      <w:r w:rsidRPr="004E49C8">
        <w:t xml:space="preserve">8 ПОВЫШЕНИЕ НАДЕЖНОСТИ ТЕХНИЧЕСКИХ СИСТЕМ МЕТОДОМ </w:t>
      </w:r>
      <w:r w:rsidRPr="004E49C8">
        <w:br/>
        <w:t>Р</w:t>
      </w:r>
      <w:r w:rsidRPr="004E49C8">
        <w:t>Е</w:t>
      </w:r>
      <w:r w:rsidRPr="004E49C8">
        <w:t>ЗЕРВИРОВАНИЯ</w:t>
      </w:r>
    </w:p>
    <w:p w:rsidR="00032F71" w:rsidRPr="004E49C8" w:rsidRDefault="00032F71" w:rsidP="00032F71">
      <w:pPr>
        <w:pStyle w:val="a3"/>
        <w:jc w:val="center"/>
        <w:rPr>
          <w:bCs/>
        </w:rPr>
      </w:pPr>
    </w:p>
    <w:p w:rsidR="00032F71" w:rsidRPr="004E49C8" w:rsidRDefault="00032F71" w:rsidP="00032F71">
      <w:pPr>
        <w:pStyle w:val="a3"/>
        <w:jc w:val="center"/>
        <w:rPr>
          <w:b/>
        </w:rPr>
      </w:pPr>
      <w:r w:rsidRPr="004E49C8">
        <w:rPr>
          <w:b/>
          <w:bCs/>
        </w:rPr>
        <w:t xml:space="preserve">8.3 Методы расчета надежности резервированной аппаратуры </w:t>
      </w:r>
      <w:r w:rsidRPr="004E49C8">
        <w:rPr>
          <w:b/>
          <w:bCs/>
        </w:rPr>
        <w:br/>
        <w:t>систем а</w:t>
      </w:r>
      <w:r w:rsidRPr="004E49C8">
        <w:rPr>
          <w:b/>
          <w:bCs/>
        </w:rPr>
        <w:t>в</w:t>
      </w:r>
      <w:r w:rsidRPr="004E49C8">
        <w:rPr>
          <w:b/>
          <w:bCs/>
        </w:rPr>
        <w:t>томатического управления</w:t>
      </w:r>
    </w:p>
    <w:p w:rsidR="00032F71" w:rsidRPr="004E49C8" w:rsidRDefault="00032F71" w:rsidP="00032F71">
      <w:pPr>
        <w:pStyle w:val="a3"/>
      </w:pPr>
    </w:p>
    <w:p w:rsidR="00032F71" w:rsidRPr="004E49C8" w:rsidRDefault="00032F71" w:rsidP="00032F71">
      <w:pPr>
        <w:pStyle w:val="a3"/>
        <w:jc w:val="both"/>
      </w:pPr>
      <w:r w:rsidRPr="004E49C8">
        <w:t>Для получения показателей надежности системы в целом при использ</w:t>
      </w:r>
      <w:r w:rsidRPr="004E49C8">
        <w:t>о</w:t>
      </w:r>
      <w:r w:rsidRPr="004E49C8">
        <w:t>вании в ней раздельного резервирования достаточно уметь находить показ</w:t>
      </w:r>
      <w:r w:rsidRPr="004E49C8">
        <w:t>а</w:t>
      </w:r>
      <w:r w:rsidRPr="004E49C8">
        <w:t>тели надежности резервируемого элемента (блока, устройства, прибора). Показатели надежности системы в целом могут быть получены путем применения расче</w:t>
      </w:r>
      <w:r w:rsidRPr="004E49C8">
        <w:t>т</w:t>
      </w:r>
      <w:r w:rsidRPr="004E49C8">
        <w:t>ных формул для основного соединения, в котором в качестве элементов выст</w:t>
      </w:r>
      <w:r w:rsidRPr="004E49C8">
        <w:t>у</w:t>
      </w:r>
      <w:r w:rsidRPr="004E49C8">
        <w:t>пают резервированные группы элементов. Учитывая это, далее будут привед</w:t>
      </w:r>
      <w:r w:rsidRPr="004E49C8">
        <w:t>е</w:t>
      </w:r>
      <w:r w:rsidRPr="004E49C8">
        <w:t xml:space="preserve">ны расчетные формулы для показателей надежности резервируемого элемента. </w:t>
      </w:r>
    </w:p>
    <w:p w:rsidR="00032F71" w:rsidRPr="004E49C8" w:rsidRDefault="00032F71" w:rsidP="00032F71">
      <w:pPr>
        <w:pStyle w:val="a3"/>
        <w:jc w:val="both"/>
      </w:pPr>
      <w:r w:rsidRPr="004E49C8">
        <w:t>Многие расчетные формулы, приводимые ниже, получены в предпол</w:t>
      </w:r>
      <w:r w:rsidRPr="004E49C8">
        <w:t>о</w:t>
      </w:r>
      <w:r w:rsidRPr="004E49C8">
        <w:t>жении, что случайное время до отказа элементов распределено по экспоненц</w:t>
      </w:r>
      <w:r w:rsidRPr="004E49C8">
        <w:t>и</w:t>
      </w:r>
      <w:r w:rsidRPr="004E49C8">
        <w:t>альному закону. Это предположение подтверждается экспериментально в апп</w:t>
      </w:r>
      <w:r w:rsidRPr="004E49C8">
        <w:t>а</w:t>
      </w:r>
      <w:r w:rsidRPr="004E49C8">
        <w:t>ратуре САУ, построенной на элементах электроники и электротехники.</w:t>
      </w:r>
    </w:p>
    <w:p w:rsidR="00032F71" w:rsidRPr="004E49C8" w:rsidRDefault="00032F71" w:rsidP="00032F71">
      <w:pPr>
        <w:pStyle w:val="a3"/>
        <w:jc w:val="both"/>
      </w:pPr>
      <w:r w:rsidRPr="004E49C8">
        <w:t>Надежность резервированной аппаратуры, особенно восстанавливаемой, в большой степени зависит от надежности аппаратуры встроенного контроля. Аппаратура контроля предназначена для определения факта отказа основой а</w:t>
      </w:r>
      <w:r w:rsidRPr="004E49C8">
        <w:t>п</w:t>
      </w:r>
      <w:r w:rsidRPr="004E49C8">
        <w:t>паратуры и выдачи команды устройству переключения на переход на резер</w:t>
      </w:r>
      <w:r w:rsidRPr="004E49C8">
        <w:t>в</w:t>
      </w:r>
      <w:r w:rsidRPr="004E49C8">
        <w:t>ную аппаратуру. При расчете надежности резервированной аппаратуры наде</w:t>
      </w:r>
      <w:r w:rsidRPr="004E49C8">
        <w:t>ж</w:t>
      </w:r>
      <w:r w:rsidRPr="004E49C8">
        <w:t>ность устрой</w:t>
      </w:r>
      <w:proofErr w:type="gramStart"/>
      <w:r w:rsidRPr="004E49C8">
        <w:t>ств встр</w:t>
      </w:r>
      <w:proofErr w:type="gramEnd"/>
      <w:r w:rsidRPr="004E49C8">
        <w:t>оенного контроля может быть приближенно учтена путем включения в расчетно-логическую схему последовательно с резервированной группой элемента, соответствующего аппаратуре встроенного контроля.</w:t>
      </w:r>
    </w:p>
    <w:p w:rsidR="00032F71" w:rsidRPr="004E49C8" w:rsidRDefault="00032F71" w:rsidP="00032F71">
      <w:pPr>
        <w:pStyle w:val="a3"/>
        <w:jc w:val="both"/>
      </w:pPr>
      <w:r w:rsidRPr="004E49C8">
        <w:rPr>
          <w:iCs/>
        </w:rPr>
        <w:t>Нагруженный резерв: постоянное включение резерва, включение резе</w:t>
      </w:r>
      <w:r w:rsidRPr="004E49C8">
        <w:rPr>
          <w:iCs/>
        </w:rPr>
        <w:t>р</w:t>
      </w:r>
      <w:r w:rsidRPr="004E49C8">
        <w:rPr>
          <w:iCs/>
        </w:rPr>
        <w:t>ва замещением.</w:t>
      </w:r>
      <w:r w:rsidRPr="004E49C8">
        <w:t xml:space="preserve"> Расчетно-логическая схема изображена на рисунке 11. </w:t>
      </w:r>
    </w:p>
    <w:p w:rsidR="00032F71" w:rsidRPr="004E49C8" w:rsidRDefault="00032F71" w:rsidP="00032F71">
      <w:pPr>
        <w:pStyle w:val="a3"/>
      </w:pP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  <w:t>1</w:t>
      </w:r>
    </w:p>
    <w:p w:rsidR="00032F71" w:rsidRPr="004E49C8" w:rsidRDefault="00032F71" w:rsidP="00032F71">
      <w:pPr>
        <w:pStyle w:val="a3"/>
      </w:pPr>
      <w:r w:rsidRPr="004E49C8">
        <w:rPr>
          <w:noProof/>
          <w:sz w:val="20"/>
        </w:rPr>
        <w:pict>
          <v:group id="_x0000_s1214" style="position:absolute;left:0;text-align:left;margin-left:135.3pt;margin-top:2.05pt;width:141pt;height:96pt;z-index:251672576" coordorigin="3840,4035" coordsize="2820,1920">
            <v:rect id="_x0000_s1215" style="position:absolute;left:4770;top:4035;width:1050;height:270" strokeweight="2.25pt"/>
            <v:line id="_x0000_s1216" style="position:absolute;flip:x" from="3840,4170" to="4770,4170" strokeweight="2.25pt"/>
            <v:line id="_x0000_s1217" style="position:absolute" from="5865,4170" to="6660,4170" strokeweight="2.25pt"/>
            <v:rect id="_x0000_s1218" style="position:absolute;left:4860;top:5685;width:1050;height:270" strokeweight="2.25pt"/>
            <v:rect id="_x0000_s1219" style="position:absolute;left:4830;top:4635;width:1050;height:270" strokeweight="2.25pt"/>
            <v:line id="_x0000_s1220" style="position:absolute" from="4140,4170" to="4140,5835" strokeweight="2.25pt"/>
            <v:line id="_x0000_s1221" style="position:absolute" from="4140,5835" to="4860,5835" strokeweight="2.25pt"/>
            <v:line id="_x0000_s1222" style="position:absolute" from="4140,4740" to="4815,4740" strokeweight="2.25pt"/>
            <v:line id="_x0000_s1223" style="position:absolute;flip:y" from="6405,4170" to="6405,5820" strokeweight="2.25pt"/>
            <v:line id="_x0000_s1224" style="position:absolute" from="5910,5835" to="6405,5835" strokeweight="2.25pt"/>
            <v:line id="_x0000_s1225" style="position:absolute" from="5895,4755" to="6405,4755" strokeweight="2.25pt"/>
            <v:line id="_x0000_s1226" style="position:absolute" from="4140,5070" to="6420,5070" strokeweight="2.25pt">
              <v:stroke dashstyle="dash"/>
            </v:line>
          </v:group>
        </w:pict>
      </w:r>
    </w:p>
    <w:p w:rsidR="00032F71" w:rsidRPr="004E49C8" w:rsidRDefault="00032F71" w:rsidP="00032F71">
      <w:pPr>
        <w:pStyle w:val="a3"/>
      </w:pP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  <w:t>2</w:t>
      </w:r>
    </w:p>
    <w:p w:rsidR="00032F71" w:rsidRPr="004E49C8" w:rsidRDefault="00032F71" w:rsidP="00032F71">
      <w:pPr>
        <w:pStyle w:val="a3"/>
      </w:pPr>
    </w:p>
    <w:p w:rsidR="00032F71" w:rsidRPr="004E49C8" w:rsidRDefault="00032F71" w:rsidP="00032F71">
      <w:pPr>
        <w:pStyle w:val="a3"/>
      </w:pPr>
    </w:p>
    <w:p w:rsidR="00032F71" w:rsidRPr="004E49C8" w:rsidRDefault="00032F71" w:rsidP="00032F71">
      <w:pPr>
        <w:pStyle w:val="a3"/>
      </w:pP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</w:r>
      <w:proofErr w:type="gramStart"/>
      <w:r w:rsidRPr="004E49C8">
        <w:rPr>
          <w:lang w:val="en-US"/>
        </w:rPr>
        <w:t>n</w:t>
      </w:r>
      <w:proofErr w:type="gramEnd"/>
    </w:p>
    <w:p w:rsidR="00032F71" w:rsidRPr="004E49C8" w:rsidRDefault="00032F71" w:rsidP="00032F71">
      <w:pPr>
        <w:pStyle w:val="a3"/>
      </w:pPr>
    </w:p>
    <w:p w:rsidR="00032F71" w:rsidRPr="004E49C8" w:rsidRDefault="00032F71" w:rsidP="00032F71">
      <w:pPr>
        <w:pStyle w:val="a3"/>
      </w:pPr>
    </w:p>
    <w:p w:rsidR="00032F71" w:rsidRPr="004E49C8" w:rsidRDefault="00032F71" w:rsidP="00032F71">
      <w:pPr>
        <w:pStyle w:val="a3"/>
      </w:pPr>
    </w:p>
    <w:p w:rsidR="00032F71" w:rsidRPr="004E49C8" w:rsidRDefault="00032F71" w:rsidP="00032F71">
      <w:pPr>
        <w:pStyle w:val="a3"/>
        <w:ind w:left="2689"/>
      </w:pPr>
      <w:r w:rsidRPr="004E49C8">
        <w:t>Рисунок 11</w:t>
      </w:r>
    </w:p>
    <w:p w:rsidR="00032F71" w:rsidRPr="004E49C8" w:rsidRDefault="00032F71" w:rsidP="00032F71">
      <w:pPr>
        <w:pStyle w:val="a3"/>
      </w:pPr>
    </w:p>
    <w:p w:rsidR="00032F71" w:rsidRPr="004E49C8" w:rsidRDefault="00032F71" w:rsidP="00032F71">
      <w:pPr>
        <w:pStyle w:val="a3"/>
        <w:jc w:val="both"/>
      </w:pPr>
      <w:r w:rsidRPr="004E49C8">
        <w:t xml:space="preserve">Расчетно-логическая схема соответствует случаю, когда один основной элемент резервируется </w:t>
      </w:r>
      <w:r w:rsidRPr="004E49C8">
        <w:rPr>
          <w:lang w:val="en-US"/>
        </w:rPr>
        <w:t>n</w:t>
      </w:r>
      <w:r w:rsidRPr="004E49C8">
        <w:t>-1 резервными элементами. Среднее время работы до отказа резервированной группы</w:t>
      </w:r>
      <w:proofErr w:type="gramStart"/>
      <w:r w:rsidRPr="004E49C8">
        <w:t xml:space="preserve"> Т</w:t>
      </w:r>
      <w:proofErr w:type="gramEnd"/>
      <w:r w:rsidRPr="004E49C8">
        <w:rPr>
          <w:vertAlign w:val="subscript"/>
        </w:rPr>
        <w:t>с</w:t>
      </w:r>
      <w:r w:rsidRPr="004E49C8">
        <w:t xml:space="preserve">  равно</w:t>
      </w:r>
    </w:p>
    <w:p w:rsidR="00032F71" w:rsidRPr="004E49C8" w:rsidRDefault="00032F71" w:rsidP="00032F71">
      <w:pPr>
        <w:pStyle w:val="a3"/>
        <w:jc w:val="both"/>
      </w:pPr>
    </w:p>
    <w:p w:rsidR="00032F71" w:rsidRPr="004E49C8" w:rsidRDefault="00032F71" w:rsidP="00032F71">
      <w:pPr>
        <w:pStyle w:val="a3"/>
        <w:ind w:firstLine="0"/>
        <w:jc w:val="right"/>
      </w:pPr>
      <w:r w:rsidRPr="004E49C8">
        <w:rPr>
          <w:position w:val="-28"/>
          <w:lang w:val="en-US"/>
        </w:rPr>
        <w:object w:dxaOrig="32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8pt;height:47.25pt" o:ole="">
            <v:imagedata r:id="rId5" o:title=""/>
          </v:shape>
          <o:OLEObject Type="Embed" ProgID="Equation.3" ShapeID="_x0000_i1025" DrawAspect="Content" ObjectID="_1503158105" r:id="rId6"/>
        </w:object>
      </w:r>
      <w:r w:rsidRPr="004E49C8">
        <w:tab/>
      </w:r>
      <w:r w:rsidRPr="004E49C8">
        <w:tab/>
      </w:r>
      <w:r w:rsidRPr="004E49C8">
        <w:tab/>
        <w:t>(35)</w:t>
      </w:r>
    </w:p>
    <w:p w:rsidR="00032F71" w:rsidRPr="004E49C8" w:rsidRDefault="00032F71" w:rsidP="00032F71">
      <w:pPr>
        <w:pStyle w:val="a3"/>
        <w:jc w:val="both"/>
      </w:pPr>
    </w:p>
    <w:p w:rsidR="00032F71" w:rsidRPr="004E49C8" w:rsidRDefault="00032F71" w:rsidP="00032F71">
      <w:pPr>
        <w:pStyle w:val="a3"/>
        <w:jc w:val="both"/>
      </w:pPr>
      <w:r w:rsidRPr="004E49C8">
        <w:t>где</w:t>
      </w:r>
      <w:proofErr w:type="gramStart"/>
      <w:r w:rsidRPr="004E49C8">
        <w:t xml:space="preserve"> Т</w:t>
      </w:r>
      <w:proofErr w:type="gramEnd"/>
      <w:r w:rsidRPr="004E49C8">
        <w:t xml:space="preserve"> – средняя наработка до отказа одного элемента.</w:t>
      </w:r>
    </w:p>
    <w:p w:rsidR="00032F71" w:rsidRPr="004E49C8" w:rsidRDefault="00032F71" w:rsidP="00032F71">
      <w:pPr>
        <w:pStyle w:val="a3"/>
        <w:jc w:val="both"/>
      </w:pPr>
      <w:r w:rsidRPr="004E49C8">
        <w:t xml:space="preserve">Вероятность безотказной работы резервированной группы в течение времени </w:t>
      </w:r>
      <w:r w:rsidRPr="004E49C8">
        <w:rPr>
          <w:lang w:val="en-US"/>
        </w:rPr>
        <w:t>t</w:t>
      </w:r>
      <w:r w:rsidRPr="004E49C8">
        <w:t xml:space="preserve"> для </w:t>
      </w:r>
      <w:proofErr w:type="spellStart"/>
      <w:r w:rsidRPr="004E49C8">
        <w:t>неравнонадежных</w:t>
      </w:r>
      <w:proofErr w:type="spellEnd"/>
      <w:r w:rsidRPr="004E49C8">
        <w:t xml:space="preserve"> элементов может быть подсчитана по формуле</w:t>
      </w:r>
    </w:p>
    <w:p w:rsidR="00032F71" w:rsidRPr="004E49C8" w:rsidRDefault="00032F71" w:rsidP="00032F71">
      <w:pPr>
        <w:pStyle w:val="a3"/>
        <w:ind w:firstLine="0"/>
        <w:jc w:val="right"/>
      </w:pPr>
      <w:r w:rsidRPr="004E49C8">
        <w:rPr>
          <w:position w:val="-20"/>
          <w:lang w:val="en-US"/>
        </w:rPr>
        <w:object w:dxaOrig="3080" w:dyaOrig="580">
          <v:shape id="_x0000_i1026" type="#_x0000_t75" style="width:221.25pt;height:42pt" o:ole="">
            <v:imagedata r:id="rId7" o:title=""/>
          </v:shape>
          <o:OLEObject Type="Embed" ProgID="Equation.3" ShapeID="_x0000_i1026" DrawAspect="Content" ObjectID="_1503158106" r:id="rId8"/>
        </w:object>
      </w:r>
      <w:r w:rsidRPr="004E49C8">
        <w:tab/>
      </w:r>
      <w:r w:rsidRPr="004E49C8">
        <w:tab/>
      </w:r>
      <w:r w:rsidRPr="004E49C8">
        <w:tab/>
        <w:t>(36)</w:t>
      </w:r>
    </w:p>
    <w:p w:rsidR="00032F71" w:rsidRPr="004E49C8" w:rsidRDefault="00032F71" w:rsidP="00032F71">
      <w:pPr>
        <w:pStyle w:val="a3"/>
        <w:ind w:firstLine="0"/>
        <w:jc w:val="right"/>
      </w:pPr>
    </w:p>
    <w:p w:rsidR="00032F71" w:rsidRPr="004E49C8" w:rsidRDefault="00032F71" w:rsidP="00032F71">
      <w:pPr>
        <w:pStyle w:val="a3"/>
      </w:pPr>
      <w:r w:rsidRPr="004E49C8">
        <w:t xml:space="preserve">Для </w:t>
      </w:r>
      <w:proofErr w:type="spellStart"/>
      <w:r w:rsidRPr="004E49C8">
        <w:t>равнонадежных</w:t>
      </w:r>
      <w:proofErr w:type="spellEnd"/>
      <w:r w:rsidRPr="004E49C8">
        <w:t xml:space="preserve"> элементов</w:t>
      </w:r>
    </w:p>
    <w:p w:rsidR="00032F71" w:rsidRPr="004E49C8" w:rsidRDefault="00032F71" w:rsidP="00032F71">
      <w:pPr>
        <w:pStyle w:val="a3"/>
      </w:pPr>
    </w:p>
    <w:p w:rsidR="00032F71" w:rsidRPr="004E49C8" w:rsidRDefault="00032F71" w:rsidP="00032F71">
      <w:pPr>
        <w:pStyle w:val="a3"/>
        <w:ind w:firstLine="0"/>
        <w:jc w:val="right"/>
      </w:pPr>
      <w:r w:rsidRPr="004E49C8">
        <w:rPr>
          <w:position w:val="-12"/>
          <w:lang w:val="en-US"/>
        </w:rPr>
        <w:object w:dxaOrig="2079" w:dyaOrig="400">
          <v:shape id="_x0000_i1027" type="#_x0000_t75" style="width:185.25pt;height:36pt" o:ole="">
            <v:imagedata r:id="rId9" o:title=""/>
          </v:shape>
          <o:OLEObject Type="Embed" ProgID="Equation.3" ShapeID="_x0000_i1027" DrawAspect="Content" ObjectID="_1503158107" r:id="rId10"/>
        </w:object>
      </w:r>
      <w:r w:rsidRPr="004E49C8">
        <w:tab/>
      </w:r>
      <w:r w:rsidRPr="004E49C8">
        <w:tab/>
      </w:r>
      <w:r w:rsidRPr="004E49C8">
        <w:tab/>
        <w:t>(37)</w:t>
      </w:r>
    </w:p>
    <w:p w:rsidR="00032F71" w:rsidRPr="004E49C8" w:rsidRDefault="00032F71" w:rsidP="00032F71">
      <w:pPr>
        <w:pStyle w:val="a3"/>
      </w:pPr>
    </w:p>
    <w:p w:rsidR="00032F71" w:rsidRPr="004E49C8" w:rsidRDefault="00032F71" w:rsidP="00032F71">
      <w:pPr>
        <w:pStyle w:val="a3"/>
      </w:pPr>
      <w:r w:rsidRPr="004E49C8">
        <w:rPr>
          <w:iCs/>
        </w:rPr>
        <w:t>Для дублирования и экспоненциального закона</w:t>
      </w:r>
      <w:r w:rsidRPr="004E49C8">
        <w:t xml:space="preserve"> распределения времени до отказа элемента</w:t>
      </w:r>
    </w:p>
    <w:p w:rsidR="00032F71" w:rsidRPr="004E49C8" w:rsidRDefault="00032F71" w:rsidP="00032F71">
      <w:pPr>
        <w:pStyle w:val="a3"/>
      </w:pPr>
    </w:p>
    <w:p w:rsidR="00032F71" w:rsidRPr="004E49C8" w:rsidRDefault="00032F71" w:rsidP="00032F71">
      <w:pPr>
        <w:pStyle w:val="a3"/>
        <w:ind w:firstLine="0"/>
        <w:jc w:val="right"/>
      </w:pPr>
      <w:r w:rsidRPr="004E49C8">
        <w:rPr>
          <w:position w:val="-12"/>
          <w:lang w:val="en-US"/>
        </w:rPr>
        <w:object w:dxaOrig="4320" w:dyaOrig="400">
          <v:shape id="_x0000_i1028" type="#_x0000_t75" style="width:312pt;height:29.25pt" o:ole="">
            <v:imagedata r:id="rId11" o:title=""/>
          </v:shape>
          <o:OLEObject Type="Embed" ProgID="Equation.3" ShapeID="_x0000_i1028" DrawAspect="Content" ObjectID="_1503158108" r:id="rId12"/>
        </w:object>
      </w:r>
      <w:r w:rsidRPr="004E49C8">
        <w:tab/>
      </w:r>
      <w:r w:rsidRPr="004E49C8">
        <w:tab/>
        <w:t>(38)</w:t>
      </w:r>
    </w:p>
    <w:p w:rsidR="00032F71" w:rsidRPr="004E49C8" w:rsidRDefault="00032F71" w:rsidP="00032F71">
      <w:pPr>
        <w:pStyle w:val="a3"/>
        <w:ind w:firstLine="0"/>
      </w:pPr>
    </w:p>
    <w:p w:rsidR="00032F71" w:rsidRPr="004E49C8" w:rsidRDefault="00032F71" w:rsidP="00032F71">
      <w:pPr>
        <w:pStyle w:val="a3"/>
        <w:ind w:firstLine="0"/>
        <w:jc w:val="center"/>
      </w:pPr>
      <w:r w:rsidRPr="004E49C8">
        <w:rPr>
          <w:position w:val="-12"/>
        </w:rPr>
        <w:object w:dxaOrig="3040" w:dyaOrig="360">
          <v:shape id="_x0000_i1029" type="#_x0000_t75" style="width:234.75pt;height:27.75pt" o:ole="">
            <v:imagedata r:id="rId13" o:title=""/>
          </v:shape>
          <o:OLEObject Type="Embed" ProgID="Equation.3" ShapeID="_x0000_i1029" DrawAspect="Content" ObjectID="_1503158109" r:id="rId14"/>
        </w:object>
      </w:r>
      <w:r w:rsidRPr="004E49C8">
        <w:t>.</w:t>
      </w:r>
    </w:p>
    <w:p w:rsidR="00032F71" w:rsidRPr="004E49C8" w:rsidRDefault="00032F71" w:rsidP="00032F71">
      <w:pPr>
        <w:pStyle w:val="a3"/>
        <w:ind w:firstLine="0"/>
      </w:pPr>
    </w:p>
    <w:p w:rsidR="00032F71" w:rsidRPr="004E49C8" w:rsidRDefault="00032F71" w:rsidP="00032F71">
      <w:pPr>
        <w:pStyle w:val="a3"/>
        <w:jc w:val="both"/>
      </w:pPr>
      <w:proofErr w:type="gramStart"/>
      <w:r w:rsidRPr="004E49C8">
        <w:t>Для нагруженного резервирования замещением приведенные выше формулы справедливы, если предположить наличие идеального (абсолютно н</w:t>
      </w:r>
      <w:r w:rsidRPr="004E49C8">
        <w:t>а</w:t>
      </w:r>
      <w:r w:rsidRPr="004E49C8">
        <w:t>дежного переключателя.</w:t>
      </w:r>
      <w:proofErr w:type="gramEnd"/>
      <w:r w:rsidRPr="004E49C8">
        <w:t xml:space="preserve"> На самом деле переключатель имеет отказы, которые могут быть различного характера:</w:t>
      </w:r>
    </w:p>
    <w:p w:rsidR="00032F71" w:rsidRPr="004E49C8" w:rsidRDefault="00032F71" w:rsidP="00032F71">
      <w:pPr>
        <w:pStyle w:val="a3"/>
        <w:numPr>
          <w:ilvl w:val="0"/>
          <w:numId w:val="1"/>
        </w:numPr>
        <w:jc w:val="both"/>
      </w:pPr>
      <w:r w:rsidRPr="004E49C8">
        <w:t>несрабатывание при отказе основного элемента;</w:t>
      </w:r>
    </w:p>
    <w:p w:rsidR="00032F71" w:rsidRPr="004E49C8" w:rsidRDefault="00032F71" w:rsidP="00032F71">
      <w:pPr>
        <w:pStyle w:val="a3"/>
        <w:numPr>
          <w:ilvl w:val="0"/>
          <w:numId w:val="1"/>
        </w:numPr>
        <w:jc w:val="both"/>
      </w:pPr>
      <w:r w:rsidRPr="004E49C8">
        <w:t>ложное срабатывание;</w:t>
      </w:r>
    </w:p>
    <w:p w:rsidR="00032F71" w:rsidRPr="004E49C8" w:rsidRDefault="00032F71" w:rsidP="00032F71">
      <w:pPr>
        <w:pStyle w:val="a3"/>
        <w:numPr>
          <w:ilvl w:val="0"/>
          <w:numId w:val="1"/>
        </w:numPr>
        <w:jc w:val="both"/>
      </w:pPr>
      <w:r w:rsidRPr="004E49C8">
        <w:t>отказы, которые выводят из строя резервную группу в целом.</w:t>
      </w:r>
    </w:p>
    <w:p w:rsidR="00032F71" w:rsidRPr="004E49C8" w:rsidRDefault="00032F71" w:rsidP="00032F71">
      <w:pPr>
        <w:pStyle w:val="a3"/>
        <w:jc w:val="both"/>
      </w:pPr>
      <w:r w:rsidRPr="004E49C8">
        <w:t>Расчетно-логическая схема резервированной группы с переключением показана на рисунке 12</w:t>
      </w:r>
    </w:p>
    <w:p w:rsidR="00032F71" w:rsidRPr="004E49C8" w:rsidRDefault="00032F71" w:rsidP="00032F71">
      <w:pPr>
        <w:pStyle w:val="a3"/>
        <w:jc w:val="both"/>
      </w:pPr>
    </w:p>
    <w:p w:rsidR="00032F71" w:rsidRPr="004E49C8" w:rsidRDefault="00032F71" w:rsidP="00032F71">
      <w:pPr>
        <w:pStyle w:val="a3"/>
        <w:jc w:val="both"/>
      </w:pPr>
      <w:r w:rsidRPr="004E49C8">
        <w:tab/>
      </w:r>
      <w:r w:rsidRPr="004E49C8">
        <w:tab/>
      </w:r>
    </w:p>
    <w:p w:rsidR="00032F71" w:rsidRPr="004E49C8" w:rsidRDefault="00032F71" w:rsidP="00032F71">
      <w:pPr>
        <w:pStyle w:val="a3"/>
        <w:ind w:left="1273"/>
        <w:jc w:val="both"/>
      </w:pPr>
      <w:r w:rsidRPr="004E49C8">
        <w:t>1</w:t>
      </w:r>
      <w:r w:rsidRPr="004E49C8">
        <w:tab/>
      </w:r>
      <w:r w:rsidRPr="004E49C8">
        <w:tab/>
        <w:t>1п</w:t>
      </w:r>
      <w:r w:rsidRPr="004E49C8">
        <w:tab/>
      </w:r>
      <w:r w:rsidRPr="004E49C8">
        <w:tab/>
        <w:t>ОП</w:t>
      </w:r>
    </w:p>
    <w:p w:rsidR="00032F71" w:rsidRPr="004E49C8" w:rsidRDefault="00032F71" w:rsidP="00032F71">
      <w:pPr>
        <w:pStyle w:val="a3"/>
        <w:jc w:val="both"/>
      </w:pPr>
      <w:r w:rsidRPr="004E49C8">
        <w:rPr>
          <w:noProof/>
          <w:sz w:val="20"/>
        </w:rPr>
        <w:pict>
          <v:group id="_x0000_s1227" style="position:absolute;left:0;text-align:left;margin-left:61.8pt;margin-top:5.05pt;width:258.75pt;height:88.5pt;z-index:251673600" coordorigin="2370,4095" coordsize="5175,1770">
            <v:group id="_x0000_s1228" style="position:absolute;left:2370;top:4095;width:3615;height:1770" coordorigin="2460,4005" coordsize="3615,1770">
              <v:rect id="_x0000_s1229" style="position:absolute;left:3105;top:4020;width:855;height:255" strokeweight="2.25pt"/>
              <v:line id="_x0000_s1230" style="position:absolute;flip:x" from="2460,4140" to="3090,4140" strokeweight="2.25pt"/>
              <v:rect id="_x0000_s1231" style="position:absolute;left:4665;top:5520;width:855;height:255" strokeweight="2.25pt"/>
              <v:rect id="_x0000_s1232" style="position:absolute;left:3105;top:4680;width:855;height:255" strokeweight="2.25pt"/>
              <v:rect id="_x0000_s1233" style="position:absolute;left:4590;top:4665;width:855;height:255" strokeweight="2.25pt"/>
              <v:rect id="_x0000_s1234" style="position:absolute;left:3135;top:5520;width:855;height:255" strokeweight="2.25pt"/>
              <v:rect id="_x0000_s1235" style="position:absolute;left:4560;top:4005;width:855;height:255" strokeweight="2.25pt"/>
              <v:line id="_x0000_s1236" style="position:absolute" from="3945,4155" to="4590,4155" strokeweight="2.25pt"/>
              <v:line id="_x0000_s1237" style="position:absolute" from="5445,4140" to="6075,4140" strokeweight="2.25pt"/>
              <v:line id="_x0000_s1238" style="position:absolute" from="2730,4140" to="2730,5670" strokeweight="2.25pt"/>
              <v:line id="_x0000_s1239" style="position:absolute" from="2730,5670" to="3150,5670" strokeweight="2.25pt"/>
              <v:line id="_x0000_s1240" style="position:absolute;flip:x" from="2730,4830" to="3090,4830" strokeweight="2.25pt"/>
              <v:line id="_x0000_s1241" style="position:absolute" from="3945,4815" to="4590,4815" strokeweight="2.25pt"/>
              <v:line id="_x0000_s1242" style="position:absolute" from="4005,5640" to="4635,5640" strokeweight="2.25pt"/>
              <v:line id="_x0000_s1243" style="position:absolute" from="5925,4155" to="5925,5625" strokeweight="2.25pt"/>
              <v:line id="_x0000_s1244" style="position:absolute" from="5445,4785" to="5895,4785" strokeweight="2.25pt"/>
              <v:line id="_x0000_s1245" style="position:absolute" from="5535,5625" to="5925,5625" strokeweight="2.25pt"/>
              <v:line id="_x0000_s1246" style="position:absolute" from="2745,5100" to="5895,5100" strokeweight="2.25pt">
                <v:stroke dashstyle="1 1"/>
              </v:line>
            </v:group>
            <v:rect id="_x0000_s1247" style="position:absolute;left:5985;top:4110;width:900;height:270" strokeweight="2.25pt"/>
            <v:line id="_x0000_s1248" style="position:absolute" from="6915,4245" to="7545,4245" strokeweight="2.25pt"/>
          </v:group>
        </w:pict>
      </w:r>
    </w:p>
    <w:p w:rsidR="00032F71" w:rsidRPr="004E49C8" w:rsidRDefault="00032F71" w:rsidP="00032F71">
      <w:pPr>
        <w:pStyle w:val="a3"/>
        <w:jc w:val="both"/>
      </w:pPr>
      <w:r w:rsidRPr="004E49C8">
        <w:tab/>
      </w:r>
      <w:r w:rsidRPr="004E49C8">
        <w:tab/>
        <w:t>2</w:t>
      </w:r>
      <w:r w:rsidRPr="004E49C8">
        <w:tab/>
      </w:r>
      <w:r w:rsidRPr="004E49C8">
        <w:tab/>
        <w:t>2п</w:t>
      </w:r>
    </w:p>
    <w:p w:rsidR="00032F71" w:rsidRPr="004E49C8" w:rsidRDefault="00032F71" w:rsidP="00032F71">
      <w:pPr>
        <w:pStyle w:val="a3"/>
        <w:jc w:val="both"/>
      </w:pPr>
    </w:p>
    <w:p w:rsidR="00032F71" w:rsidRPr="004E49C8" w:rsidRDefault="00032F71" w:rsidP="00032F71">
      <w:pPr>
        <w:pStyle w:val="a3"/>
        <w:jc w:val="both"/>
      </w:pPr>
    </w:p>
    <w:p w:rsidR="00032F71" w:rsidRPr="004E49C8" w:rsidRDefault="00032F71" w:rsidP="00032F71">
      <w:pPr>
        <w:pStyle w:val="a3"/>
        <w:jc w:val="both"/>
      </w:pPr>
      <w:r w:rsidRPr="004E49C8">
        <w:tab/>
      </w:r>
      <w:r w:rsidRPr="004E49C8">
        <w:tab/>
      </w:r>
      <w:proofErr w:type="gramStart"/>
      <w:r w:rsidRPr="004E49C8">
        <w:rPr>
          <w:lang w:val="en-US"/>
        </w:rPr>
        <w:t>n</w:t>
      </w:r>
      <w:proofErr w:type="gramEnd"/>
      <w:r w:rsidRPr="004E49C8">
        <w:tab/>
      </w:r>
      <w:r w:rsidRPr="004E49C8">
        <w:tab/>
      </w:r>
      <w:r w:rsidRPr="004E49C8">
        <w:rPr>
          <w:lang w:val="en-US"/>
        </w:rPr>
        <w:t>n</w:t>
      </w:r>
      <w:proofErr w:type="spellStart"/>
      <w:r w:rsidRPr="004E49C8">
        <w:t>п</w:t>
      </w:r>
      <w:proofErr w:type="spellEnd"/>
    </w:p>
    <w:p w:rsidR="00032F71" w:rsidRPr="004E49C8" w:rsidRDefault="00032F71" w:rsidP="00032F71">
      <w:pPr>
        <w:pStyle w:val="a3"/>
        <w:jc w:val="both"/>
      </w:pPr>
    </w:p>
    <w:p w:rsidR="00032F71" w:rsidRPr="004E49C8" w:rsidRDefault="00032F71" w:rsidP="00032F71">
      <w:pPr>
        <w:pStyle w:val="a3"/>
        <w:jc w:val="both"/>
      </w:pPr>
    </w:p>
    <w:p w:rsidR="00032F71" w:rsidRPr="004E49C8" w:rsidRDefault="00032F71" w:rsidP="00032F71">
      <w:pPr>
        <w:pStyle w:val="a3"/>
        <w:ind w:left="1273"/>
        <w:jc w:val="both"/>
      </w:pPr>
      <w:r w:rsidRPr="004E49C8">
        <w:lastRenderedPageBreak/>
        <w:t>Рисунок 12</w:t>
      </w:r>
    </w:p>
    <w:p w:rsidR="00032F71" w:rsidRPr="004E49C8" w:rsidRDefault="00032F71" w:rsidP="00032F71">
      <w:pPr>
        <w:pStyle w:val="a3"/>
        <w:jc w:val="both"/>
      </w:pPr>
    </w:p>
    <w:p w:rsidR="00032F71" w:rsidRPr="004E49C8" w:rsidRDefault="00032F71" w:rsidP="00032F71">
      <w:pPr>
        <w:pStyle w:val="a3"/>
        <w:jc w:val="both"/>
      </w:pPr>
      <w:r w:rsidRPr="004E49C8">
        <w:t>Вероятность безотказной работы резервной группы с учетом ненаде</w:t>
      </w:r>
      <w:r w:rsidRPr="004E49C8">
        <w:t>ж</w:t>
      </w:r>
      <w:r w:rsidRPr="004E49C8">
        <w:t>ности переключателя может быть рассчитана по формуле</w:t>
      </w:r>
    </w:p>
    <w:p w:rsidR="00032F71" w:rsidRPr="004E49C8" w:rsidRDefault="00032F71" w:rsidP="00032F71">
      <w:pPr>
        <w:pStyle w:val="a3"/>
        <w:ind w:firstLine="0"/>
        <w:jc w:val="right"/>
      </w:pPr>
      <w:r w:rsidRPr="004E49C8">
        <w:rPr>
          <w:position w:val="-20"/>
          <w:lang w:val="en-US"/>
        </w:rPr>
        <w:object w:dxaOrig="3580" w:dyaOrig="580">
          <v:shape id="_x0000_i1030" type="#_x0000_t75" style="width:276pt;height:45pt" o:ole="">
            <v:imagedata r:id="rId15" o:title=""/>
          </v:shape>
          <o:OLEObject Type="Embed" ProgID="Equation.3" ShapeID="_x0000_i1030" DrawAspect="Content" ObjectID="_1503158110" r:id="rId16"/>
        </w:object>
      </w:r>
      <w:r w:rsidRPr="004E49C8">
        <w:tab/>
      </w:r>
      <w:r w:rsidRPr="004E49C8">
        <w:tab/>
      </w:r>
      <w:r w:rsidRPr="004E49C8">
        <w:tab/>
        <w:t>(39)</w:t>
      </w:r>
    </w:p>
    <w:p w:rsidR="00032F71" w:rsidRPr="004E49C8" w:rsidRDefault="00032F71" w:rsidP="00032F71">
      <w:pPr>
        <w:pStyle w:val="a3"/>
      </w:pPr>
      <w:r w:rsidRPr="004E49C8">
        <w:t xml:space="preserve">Для </w:t>
      </w:r>
      <w:proofErr w:type="spellStart"/>
      <w:r w:rsidRPr="004E49C8">
        <w:t>равнонадежных</w:t>
      </w:r>
      <w:proofErr w:type="spellEnd"/>
      <w:r w:rsidRPr="004E49C8">
        <w:t xml:space="preserve"> цепочек</w:t>
      </w:r>
    </w:p>
    <w:p w:rsidR="00032F71" w:rsidRPr="004E49C8" w:rsidRDefault="00032F71" w:rsidP="00032F71">
      <w:pPr>
        <w:pStyle w:val="a3"/>
        <w:ind w:firstLine="0"/>
        <w:jc w:val="right"/>
      </w:pPr>
      <w:r w:rsidRPr="004E49C8">
        <w:rPr>
          <w:position w:val="-12"/>
          <w:lang w:val="en-US"/>
        </w:rPr>
        <w:object w:dxaOrig="3480" w:dyaOrig="400">
          <v:shape id="_x0000_i1031" type="#_x0000_t75" style="width:283.5pt;height:33pt" o:ole="">
            <v:imagedata r:id="rId17" o:title=""/>
          </v:shape>
          <o:OLEObject Type="Embed" ProgID="Equation.3" ShapeID="_x0000_i1031" DrawAspect="Content" ObjectID="_1503158111" r:id="rId18"/>
        </w:object>
      </w:r>
      <w:r w:rsidRPr="004E49C8">
        <w:tab/>
      </w:r>
      <w:r w:rsidRPr="004E49C8">
        <w:tab/>
        <w:t>(40)</w:t>
      </w:r>
    </w:p>
    <w:p w:rsidR="00032F71" w:rsidRPr="004E49C8" w:rsidRDefault="00032F71" w:rsidP="00032F71">
      <w:pPr>
        <w:pStyle w:val="a3"/>
        <w:ind w:firstLine="0"/>
        <w:jc w:val="center"/>
      </w:pPr>
    </w:p>
    <w:p w:rsidR="00032F71" w:rsidRPr="004E49C8" w:rsidRDefault="00032F71" w:rsidP="00032F71">
      <w:pPr>
        <w:pStyle w:val="a3"/>
        <w:jc w:val="both"/>
      </w:pPr>
      <w:r w:rsidRPr="004E49C8">
        <w:rPr>
          <w:iCs/>
        </w:rPr>
        <w:t>Ненагруженный резерв: включение резерва замещением</w:t>
      </w:r>
      <w:r w:rsidRPr="004E49C8">
        <w:t xml:space="preserve">. Расчетно-логическая схема для такой резервированной группы изображена на рисунке 13. Резервированная группа состоит из одного основного элемента и </w:t>
      </w:r>
      <w:r w:rsidRPr="004E49C8">
        <w:rPr>
          <w:lang w:val="en-US"/>
        </w:rPr>
        <w:t>n</w:t>
      </w:r>
      <w:r w:rsidRPr="004E49C8">
        <w:t>-1 эл</w:t>
      </w:r>
      <w:r w:rsidRPr="004E49C8">
        <w:t>е</w:t>
      </w:r>
      <w:r w:rsidRPr="004E49C8">
        <w:t>ментов, находящихся в ненагруженном резерве.</w:t>
      </w:r>
    </w:p>
    <w:p w:rsidR="00032F71" w:rsidRPr="004E49C8" w:rsidRDefault="00032F71" w:rsidP="00032F71">
      <w:pPr>
        <w:pStyle w:val="a3"/>
      </w:pPr>
    </w:p>
    <w:p w:rsidR="00032F71" w:rsidRPr="004E49C8" w:rsidRDefault="00032F71" w:rsidP="00032F71">
      <w:pPr>
        <w:pStyle w:val="a3"/>
      </w:pPr>
      <w:r w:rsidRPr="004E49C8">
        <w:tab/>
      </w:r>
      <w:r w:rsidRPr="004E49C8">
        <w:tab/>
        <w:t>1</w:t>
      </w:r>
    </w:p>
    <w:p w:rsidR="00032F71" w:rsidRPr="004E49C8" w:rsidRDefault="00032F71" w:rsidP="00032F71">
      <w:pPr>
        <w:pStyle w:val="a3"/>
      </w:pPr>
      <w:r w:rsidRPr="004E49C8">
        <w:rPr>
          <w:noProof/>
          <w:sz w:val="20"/>
        </w:rPr>
        <w:pict>
          <v:group id="_x0000_s1249" style="position:absolute;left:0;text-align:left;margin-left:61.8pt;margin-top:.55pt;width:125.25pt;height:96.75pt;z-index:251674624" coordorigin="2370,10395" coordsize="2505,1935">
            <v:rect id="_x0000_s1250" style="position:absolute;left:3045;top:10395;width:1020;height:285" strokeweight="2.25pt"/>
            <v:line id="_x0000_s1251" style="position:absolute;flip:x" from="2370,10545" to="3075,10545" strokeweight="2.25pt"/>
            <v:line id="_x0000_s1252" style="position:absolute" from="4080,10575" to="4875,10575" strokeweight="2.25pt"/>
            <v:rect id="_x0000_s1253" style="position:absolute;left:3075;top:11130;width:1020;height:285" strokeweight="2.25pt"/>
            <v:rect id="_x0000_s1254" style="position:absolute;left:3165;top:12045;width:1020;height:285" strokeweight="2.25pt"/>
            <v:line id="_x0000_s1255" style="position:absolute;flip:x" from="2805,11280" to="3030,11280" strokeweight="2.25pt"/>
            <v:line id="_x0000_s1256" style="position:absolute;flip:y" from="4125,11250" to="4380,11280" strokeweight="2.25pt"/>
            <v:line id="_x0000_s1257" style="position:absolute;flip:x" from="2820,12180" to="3180,12180" strokeweight="2.25pt"/>
            <v:line id="_x0000_s1258" style="position:absolute" from="4200,12150" to="4530,12150" strokeweight="2.25pt"/>
            <v:line id="_x0000_s1259" style="position:absolute;flip:y" from="2820,10890" to="2820,11265" strokeweight="2.25pt">
              <v:stroke endarrow="block"/>
            </v:line>
            <v:line id="_x0000_s1260" style="position:absolute;flip:y" from="4395,10905" to="4395,11280" strokeweight="2.25pt">
              <v:stroke endarrow="block"/>
            </v:line>
            <v:line id="_x0000_s1261" style="position:absolute;flip:y" from="2835,11820" to="2835,12195" strokeweight="2.25pt">
              <v:stroke endarrow="block"/>
            </v:line>
            <v:line id="_x0000_s1262" style="position:absolute;flip:y" from="4530,11790" to="4530,12165" strokeweight="2.25pt">
              <v:stroke endarrow="block"/>
            </v:line>
          </v:group>
        </w:pict>
      </w:r>
    </w:p>
    <w:p w:rsidR="00032F71" w:rsidRPr="004E49C8" w:rsidRDefault="00032F71" w:rsidP="00032F71">
      <w:pPr>
        <w:pStyle w:val="a3"/>
      </w:pPr>
      <w:r w:rsidRPr="004E49C8">
        <w:tab/>
      </w:r>
      <w:r w:rsidRPr="004E49C8">
        <w:tab/>
        <w:t>2</w:t>
      </w:r>
    </w:p>
    <w:p w:rsidR="00032F71" w:rsidRPr="004E49C8" w:rsidRDefault="00032F71" w:rsidP="00032F71">
      <w:pPr>
        <w:pStyle w:val="a3"/>
      </w:pPr>
    </w:p>
    <w:p w:rsidR="00032F71" w:rsidRPr="004E49C8" w:rsidRDefault="00032F71" w:rsidP="00032F71">
      <w:pPr>
        <w:pStyle w:val="a3"/>
      </w:pPr>
    </w:p>
    <w:p w:rsidR="00032F71" w:rsidRPr="004E49C8" w:rsidRDefault="00032F71" w:rsidP="00032F71">
      <w:pPr>
        <w:pStyle w:val="a3"/>
      </w:pPr>
      <w:r w:rsidRPr="004E49C8">
        <w:tab/>
      </w:r>
      <w:r w:rsidRPr="004E49C8">
        <w:tab/>
      </w:r>
      <w:proofErr w:type="gramStart"/>
      <w:r w:rsidRPr="004E49C8">
        <w:rPr>
          <w:lang w:val="en-US"/>
        </w:rPr>
        <w:t>n</w:t>
      </w:r>
      <w:proofErr w:type="gramEnd"/>
    </w:p>
    <w:p w:rsidR="00032F71" w:rsidRPr="004E49C8" w:rsidRDefault="00032F71" w:rsidP="00032F71">
      <w:pPr>
        <w:pStyle w:val="a3"/>
      </w:pPr>
    </w:p>
    <w:p w:rsidR="00032F71" w:rsidRPr="004E49C8" w:rsidRDefault="00032F71" w:rsidP="00032F71">
      <w:pPr>
        <w:pStyle w:val="a3"/>
      </w:pPr>
    </w:p>
    <w:p w:rsidR="00032F71" w:rsidRPr="004E49C8" w:rsidRDefault="00032F71" w:rsidP="00032F71">
      <w:pPr>
        <w:pStyle w:val="a3"/>
        <w:ind w:left="1273"/>
      </w:pPr>
      <w:r w:rsidRPr="004E49C8">
        <w:t>Рисунок 13</w:t>
      </w:r>
    </w:p>
    <w:p w:rsidR="00032F71" w:rsidRDefault="00032F71" w:rsidP="00032F71">
      <w:pPr>
        <w:pStyle w:val="a3"/>
        <w:jc w:val="both"/>
      </w:pPr>
    </w:p>
    <w:p w:rsidR="00032F71" w:rsidRPr="004E49C8" w:rsidRDefault="00032F71" w:rsidP="00032F71">
      <w:pPr>
        <w:pStyle w:val="a3"/>
        <w:jc w:val="both"/>
      </w:pPr>
      <w:r w:rsidRPr="004E49C8">
        <w:t xml:space="preserve">Вероятность безотказной работы резервированной группы в течение времени </w:t>
      </w:r>
      <w:r w:rsidRPr="004E49C8">
        <w:rPr>
          <w:lang w:val="en-US"/>
        </w:rPr>
        <w:t>t</w:t>
      </w:r>
      <w:r w:rsidRPr="004E49C8">
        <w:t xml:space="preserve"> для экспоненциального закона равна</w:t>
      </w:r>
    </w:p>
    <w:p w:rsidR="00032F71" w:rsidRPr="004E49C8" w:rsidRDefault="00032F71" w:rsidP="00032F71">
      <w:pPr>
        <w:pStyle w:val="a3"/>
      </w:pPr>
    </w:p>
    <w:p w:rsidR="00032F71" w:rsidRPr="004E49C8" w:rsidRDefault="00032F71" w:rsidP="00032F71">
      <w:pPr>
        <w:pStyle w:val="a3"/>
        <w:ind w:firstLine="0"/>
        <w:jc w:val="right"/>
      </w:pPr>
      <w:r w:rsidRPr="004E49C8">
        <w:rPr>
          <w:position w:val="-28"/>
          <w:lang w:val="en-US"/>
        </w:rPr>
        <w:object w:dxaOrig="2480" w:dyaOrig="720">
          <v:shape id="_x0000_i1032" type="#_x0000_t75" style="width:186pt;height:54pt" o:ole="">
            <v:imagedata r:id="rId19" o:title=""/>
          </v:shape>
          <o:OLEObject Type="Embed" ProgID="Equation.3" ShapeID="_x0000_i1032" DrawAspect="Content" ObjectID="_1503158112" r:id="rId20"/>
        </w:object>
      </w:r>
      <w:r w:rsidRPr="004E49C8">
        <w:tab/>
      </w:r>
      <w:r w:rsidRPr="004E49C8">
        <w:tab/>
      </w:r>
      <w:r w:rsidRPr="004E49C8">
        <w:tab/>
      </w:r>
      <w:r w:rsidRPr="004E49C8">
        <w:tab/>
        <w:t>(41)</w:t>
      </w:r>
    </w:p>
    <w:p w:rsidR="00032F71" w:rsidRPr="004E49C8" w:rsidRDefault="00032F71" w:rsidP="00032F71">
      <w:pPr>
        <w:pStyle w:val="a3"/>
        <w:rPr>
          <w:lang w:val="en-US"/>
        </w:rPr>
      </w:pPr>
    </w:p>
    <w:p w:rsidR="00032F71" w:rsidRPr="004E49C8" w:rsidRDefault="00032F71" w:rsidP="00032F71">
      <w:pPr>
        <w:pStyle w:val="a3"/>
        <w:ind w:firstLine="0"/>
        <w:jc w:val="right"/>
      </w:pPr>
      <w:r w:rsidRPr="004E49C8">
        <w:rPr>
          <w:position w:val="-24"/>
          <w:lang w:val="en-US"/>
        </w:rPr>
        <w:object w:dxaOrig="1520" w:dyaOrig="620">
          <v:shape id="_x0000_i1033" type="#_x0000_t75" style="width:107.25pt;height:43.5pt" o:ole="">
            <v:imagedata r:id="rId21" o:title=""/>
          </v:shape>
          <o:OLEObject Type="Embed" ProgID="Equation.3" ShapeID="_x0000_i1033" DrawAspect="Content" ObjectID="_1503158113" r:id="rId22"/>
        </w:object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  <w:t>(43)</w:t>
      </w:r>
    </w:p>
    <w:p w:rsidR="00032F71" w:rsidRPr="004E49C8" w:rsidRDefault="00032F71" w:rsidP="00032F71">
      <w:pPr>
        <w:pStyle w:val="a3"/>
      </w:pPr>
      <w:r w:rsidRPr="004E49C8">
        <w:t>Для дублирования</w:t>
      </w:r>
    </w:p>
    <w:p w:rsidR="00032F71" w:rsidRPr="004E49C8" w:rsidRDefault="00032F71" w:rsidP="00032F71">
      <w:pPr>
        <w:pStyle w:val="a3"/>
        <w:ind w:firstLine="0"/>
        <w:jc w:val="right"/>
      </w:pPr>
      <w:r w:rsidRPr="004E49C8">
        <w:rPr>
          <w:position w:val="-12"/>
          <w:lang w:val="en-US"/>
        </w:rPr>
        <w:object w:dxaOrig="2360" w:dyaOrig="360">
          <v:shape id="_x0000_i1034" type="#_x0000_t75" style="width:201pt;height:30.75pt" o:ole="">
            <v:imagedata r:id="rId23" o:title=""/>
          </v:shape>
          <o:OLEObject Type="Embed" ProgID="Equation.3" ShapeID="_x0000_i1034" DrawAspect="Content" ObjectID="_1503158114" r:id="rId24"/>
        </w:object>
      </w:r>
      <w:r w:rsidRPr="004E49C8">
        <w:tab/>
      </w:r>
      <w:r w:rsidRPr="004E49C8">
        <w:tab/>
      </w:r>
      <w:r w:rsidRPr="004E49C8">
        <w:tab/>
      </w:r>
      <w:r w:rsidRPr="004E49C8">
        <w:tab/>
        <w:t>(44)</w:t>
      </w:r>
    </w:p>
    <w:p w:rsidR="00032F71" w:rsidRPr="004E49C8" w:rsidRDefault="00032F71" w:rsidP="00032F71">
      <w:pPr>
        <w:pStyle w:val="a5"/>
        <w:ind w:firstLine="0"/>
        <w:jc w:val="center"/>
        <w:rPr>
          <w:lang w:val="en-US"/>
        </w:rPr>
      </w:pPr>
      <w:r w:rsidRPr="004E49C8">
        <w:rPr>
          <w:position w:val="-24"/>
          <w:lang w:val="en-US"/>
        </w:rPr>
        <w:object w:dxaOrig="1480" w:dyaOrig="620">
          <v:shape id="_x0000_i1035" type="#_x0000_t75" style="width:106.5pt;height:44.25pt" o:ole="">
            <v:imagedata r:id="rId25" o:title=""/>
          </v:shape>
          <o:OLEObject Type="Embed" ProgID="Equation.3" ShapeID="_x0000_i1035" DrawAspect="Content" ObjectID="_1503158115" r:id="rId26"/>
        </w:object>
      </w:r>
    </w:p>
    <w:p w:rsidR="00032F71" w:rsidRPr="004E49C8" w:rsidRDefault="00032F71" w:rsidP="00032F71">
      <w:pPr>
        <w:pStyle w:val="a5"/>
        <w:ind w:firstLine="851"/>
        <w:rPr>
          <w:sz w:val="28"/>
        </w:rPr>
      </w:pPr>
      <w:r w:rsidRPr="004E49C8">
        <w:rPr>
          <w:iCs/>
          <w:sz w:val="28"/>
        </w:rPr>
        <w:t>Ненагруженный резерв: резервирование с дробной кратностью</w:t>
      </w:r>
      <w:r w:rsidRPr="004E49C8">
        <w:rPr>
          <w:sz w:val="28"/>
        </w:rPr>
        <w:t>. Расче</w:t>
      </w:r>
      <w:r w:rsidRPr="004E49C8">
        <w:rPr>
          <w:sz w:val="28"/>
        </w:rPr>
        <w:t>т</w:t>
      </w:r>
      <w:r w:rsidRPr="004E49C8">
        <w:rPr>
          <w:sz w:val="28"/>
        </w:rPr>
        <w:t>но-логическая схема показана на рисунке 10.</w:t>
      </w:r>
    </w:p>
    <w:p w:rsidR="00032F71" w:rsidRPr="004E49C8" w:rsidRDefault="00032F71" w:rsidP="00032F71">
      <w:pPr>
        <w:pStyle w:val="a5"/>
        <w:ind w:firstLine="851"/>
        <w:jc w:val="left"/>
        <w:rPr>
          <w:sz w:val="28"/>
        </w:rPr>
      </w:pPr>
      <w:r w:rsidRPr="004E49C8">
        <w:rPr>
          <w:sz w:val="28"/>
        </w:rPr>
        <w:lastRenderedPageBreak/>
        <w:t>Вероятность безотказной работы резервированной группы и средняя н</w:t>
      </w:r>
      <w:r w:rsidRPr="004E49C8">
        <w:rPr>
          <w:sz w:val="28"/>
        </w:rPr>
        <w:t>а</w:t>
      </w:r>
      <w:r w:rsidRPr="004E49C8">
        <w:rPr>
          <w:sz w:val="28"/>
        </w:rPr>
        <w:t xml:space="preserve">работка до отказа за время </w:t>
      </w:r>
      <w:r w:rsidRPr="004E49C8">
        <w:rPr>
          <w:sz w:val="28"/>
          <w:lang w:val="en-US"/>
        </w:rPr>
        <w:t>t</w:t>
      </w:r>
      <w:r w:rsidRPr="004E49C8">
        <w:rPr>
          <w:sz w:val="28"/>
        </w:rPr>
        <w:t xml:space="preserve"> определяются по формулам</w:t>
      </w:r>
    </w:p>
    <w:p w:rsidR="00032F71" w:rsidRPr="004E49C8" w:rsidRDefault="00032F71" w:rsidP="00032F71">
      <w:pPr>
        <w:pStyle w:val="a5"/>
        <w:ind w:firstLine="0"/>
        <w:jc w:val="right"/>
        <w:rPr>
          <w:sz w:val="28"/>
        </w:rPr>
      </w:pPr>
      <w:r w:rsidRPr="004E49C8">
        <w:rPr>
          <w:position w:val="-28"/>
          <w:sz w:val="28"/>
          <w:lang w:val="en-US"/>
        </w:rPr>
        <w:object w:dxaOrig="2720" w:dyaOrig="720">
          <v:shape id="_x0000_i1036" type="#_x0000_t75" style="width:186.75pt;height:49.5pt" o:ole="">
            <v:imagedata r:id="rId27" o:title=""/>
          </v:shape>
          <o:OLEObject Type="Embed" ProgID="Equation.3" ShapeID="_x0000_i1036" DrawAspect="Content" ObjectID="_1503158116" r:id="rId28"/>
        </w:object>
      </w:r>
      <w:r w:rsidRPr="004E49C8">
        <w:rPr>
          <w:sz w:val="28"/>
        </w:rPr>
        <w:tab/>
      </w:r>
      <w:r w:rsidRPr="004E49C8">
        <w:rPr>
          <w:sz w:val="28"/>
        </w:rPr>
        <w:tab/>
      </w:r>
      <w:r w:rsidRPr="004E49C8">
        <w:rPr>
          <w:sz w:val="28"/>
        </w:rPr>
        <w:tab/>
      </w:r>
      <w:r w:rsidRPr="004E49C8">
        <w:rPr>
          <w:sz w:val="28"/>
        </w:rPr>
        <w:tab/>
        <w:t>(45)</w:t>
      </w:r>
    </w:p>
    <w:p w:rsidR="00032F71" w:rsidRPr="004E49C8" w:rsidRDefault="00032F71" w:rsidP="00032F71">
      <w:pPr>
        <w:pStyle w:val="a5"/>
        <w:ind w:firstLine="0"/>
        <w:jc w:val="right"/>
        <w:rPr>
          <w:sz w:val="28"/>
        </w:rPr>
      </w:pPr>
      <w:r w:rsidRPr="004E49C8">
        <w:rPr>
          <w:position w:val="-24"/>
          <w:sz w:val="28"/>
          <w:lang w:val="en-US"/>
        </w:rPr>
        <w:object w:dxaOrig="1860" w:dyaOrig="620">
          <v:shape id="_x0000_i1037" type="#_x0000_t75" style="width:147pt;height:48.75pt" o:ole="">
            <v:imagedata r:id="rId29" o:title=""/>
          </v:shape>
          <o:OLEObject Type="Embed" ProgID="Equation.3" ShapeID="_x0000_i1037" DrawAspect="Content" ObjectID="_1503158117" r:id="rId30"/>
        </w:object>
      </w:r>
      <w:r w:rsidRPr="004E49C8">
        <w:rPr>
          <w:sz w:val="28"/>
        </w:rPr>
        <w:tab/>
      </w:r>
      <w:r w:rsidRPr="004E49C8">
        <w:rPr>
          <w:sz w:val="28"/>
        </w:rPr>
        <w:tab/>
      </w:r>
      <w:r w:rsidRPr="004E49C8">
        <w:rPr>
          <w:sz w:val="28"/>
        </w:rPr>
        <w:tab/>
      </w:r>
      <w:r w:rsidRPr="004E49C8">
        <w:rPr>
          <w:sz w:val="28"/>
        </w:rPr>
        <w:tab/>
      </w:r>
      <w:r w:rsidRPr="004E49C8">
        <w:rPr>
          <w:sz w:val="28"/>
        </w:rPr>
        <w:tab/>
        <w:t>(46)</w:t>
      </w:r>
    </w:p>
    <w:p w:rsidR="00032F71" w:rsidRPr="004E49C8" w:rsidRDefault="00032F71" w:rsidP="00032F71">
      <w:pPr>
        <w:pStyle w:val="a5"/>
        <w:ind w:firstLine="0"/>
        <w:rPr>
          <w:sz w:val="28"/>
        </w:rPr>
      </w:pPr>
    </w:p>
    <w:p w:rsidR="00032F71" w:rsidRPr="004E49C8" w:rsidRDefault="00032F71" w:rsidP="00032F71">
      <w:pPr>
        <w:pStyle w:val="a5"/>
        <w:ind w:firstLine="851"/>
        <w:rPr>
          <w:sz w:val="28"/>
        </w:rPr>
      </w:pPr>
      <w:r w:rsidRPr="004E49C8">
        <w:rPr>
          <w:iCs/>
          <w:sz w:val="28"/>
        </w:rPr>
        <w:t>Комбинированный резерв</w:t>
      </w:r>
      <w:r w:rsidRPr="004E49C8">
        <w:rPr>
          <w:sz w:val="28"/>
        </w:rPr>
        <w:t>. На рисунке14 представлена резервированная группа</w:t>
      </w:r>
      <w:proofErr w:type="gramStart"/>
      <w:r w:rsidRPr="004E49C8">
        <w:rPr>
          <w:sz w:val="28"/>
        </w:rPr>
        <w:t>.</w:t>
      </w:r>
      <w:proofErr w:type="gramEnd"/>
      <w:r w:rsidRPr="004E49C8">
        <w:rPr>
          <w:sz w:val="28"/>
        </w:rPr>
        <w:t xml:space="preserve"> </w:t>
      </w:r>
      <w:proofErr w:type="gramStart"/>
      <w:r w:rsidRPr="004E49C8">
        <w:rPr>
          <w:sz w:val="28"/>
        </w:rPr>
        <w:t>с</w:t>
      </w:r>
      <w:proofErr w:type="gramEnd"/>
      <w:r w:rsidRPr="004E49C8">
        <w:rPr>
          <w:sz w:val="28"/>
        </w:rPr>
        <w:t>очетающая преимущества нагруженного резерва (непрерывность р</w:t>
      </w:r>
      <w:r w:rsidRPr="004E49C8">
        <w:rPr>
          <w:sz w:val="28"/>
        </w:rPr>
        <w:t>а</w:t>
      </w:r>
      <w:r w:rsidRPr="004E49C8">
        <w:rPr>
          <w:sz w:val="28"/>
        </w:rPr>
        <w:t>боты) и ненагруженного резерва (обеспечение большего выигрыша в надежн</w:t>
      </w:r>
      <w:r w:rsidRPr="004E49C8">
        <w:rPr>
          <w:sz w:val="28"/>
        </w:rPr>
        <w:t>о</w:t>
      </w:r>
      <w:r w:rsidRPr="004E49C8">
        <w:rPr>
          <w:sz w:val="28"/>
        </w:rPr>
        <w:t xml:space="preserve">сти). </w:t>
      </w:r>
    </w:p>
    <w:p w:rsidR="00032F71" w:rsidRPr="004E49C8" w:rsidRDefault="00032F71" w:rsidP="00032F71">
      <w:pPr>
        <w:pStyle w:val="a5"/>
        <w:ind w:firstLine="851"/>
        <w:rPr>
          <w:sz w:val="28"/>
        </w:rPr>
      </w:pPr>
      <w:r w:rsidRPr="004E49C8">
        <w:rPr>
          <w:sz w:val="28"/>
        </w:rPr>
        <w:t>В данном случае два элемента образуют дублированную группу, а тр</w:t>
      </w:r>
      <w:r w:rsidRPr="004E49C8">
        <w:rPr>
          <w:sz w:val="28"/>
        </w:rPr>
        <w:t>е</w:t>
      </w:r>
      <w:r w:rsidRPr="004E49C8">
        <w:rPr>
          <w:sz w:val="28"/>
        </w:rPr>
        <w:t>тий находится в ненагруженном резерве. Такое резервирование называется комб</w:t>
      </w:r>
      <w:r w:rsidRPr="004E49C8">
        <w:rPr>
          <w:sz w:val="28"/>
        </w:rPr>
        <w:t>и</w:t>
      </w:r>
      <w:r w:rsidRPr="004E49C8">
        <w:rPr>
          <w:sz w:val="28"/>
        </w:rPr>
        <w:t>нированным.</w:t>
      </w:r>
    </w:p>
    <w:p w:rsidR="00032F71" w:rsidRPr="004E49C8" w:rsidRDefault="00032F71" w:rsidP="00032F71">
      <w:pPr>
        <w:pStyle w:val="a3"/>
      </w:pPr>
      <w:r w:rsidRPr="004E49C8">
        <w:tab/>
      </w:r>
      <w:r w:rsidRPr="004E49C8">
        <w:tab/>
        <w:t>1</w:t>
      </w:r>
    </w:p>
    <w:p w:rsidR="00032F71" w:rsidRPr="004E49C8" w:rsidRDefault="00032F71" w:rsidP="00032F71">
      <w:pPr>
        <w:pStyle w:val="a3"/>
      </w:pPr>
      <w:r w:rsidRPr="004E49C8">
        <w:rPr>
          <w:noProof/>
          <w:sz w:val="20"/>
        </w:rPr>
        <w:pict>
          <v:group id="_x0000_s1263" style="position:absolute;left:0;text-align:left;margin-left:61.8pt;margin-top:.55pt;width:125.25pt;height:96.75pt;z-index:251675648" coordorigin="2370,9949" coordsize="2505,1935">
            <v:rect id="_x0000_s1264" style="position:absolute;left:3045;top:9949;width:1020;height:285" strokeweight="2.25pt"/>
            <v:line id="_x0000_s1265" style="position:absolute;flip:x" from="2370,10099" to="3075,10099" strokeweight="2.25pt"/>
            <v:line id="_x0000_s1266" style="position:absolute" from="4080,10129" to="4875,10129" strokeweight="2.25pt"/>
            <v:rect id="_x0000_s1267" style="position:absolute;left:3075;top:10684;width:1020;height:285" strokeweight="2.25pt"/>
            <v:rect id="_x0000_s1268" style="position:absolute;left:3165;top:11599;width:1020;height:285" strokeweight="2.25pt"/>
            <v:line id="_x0000_s1269" style="position:absolute;flip:x" from="2805,10834" to="3030,10834" strokeweight="2.25pt"/>
            <v:line id="_x0000_s1270" style="position:absolute;flip:y" from="4125,10804" to="4380,10834" strokeweight="2.25pt"/>
            <v:line id="_x0000_s1271" style="position:absolute;flip:x" from="2820,11734" to="3180,11734" strokeweight="2.25pt"/>
            <v:line id="_x0000_s1272" style="position:absolute" from="4200,11704" to="4530,11704" strokeweight="2.25pt"/>
            <v:line id="_x0000_s1273" style="position:absolute;flip:y" from="2835,11374" to="2835,11749" strokeweight="2.25pt">
              <v:stroke endarrow="block"/>
            </v:line>
            <v:line id="_x0000_s1274" style="position:absolute;flip:y" from="4530,11344" to="4530,11719" strokeweight="2.25pt">
              <v:stroke endarrow="block"/>
            </v:line>
            <v:line id="_x0000_s1275" style="position:absolute;flip:y" from="2820,10080" to="2820,10845" strokeweight="2.25pt"/>
            <v:line id="_x0000_s1276" style="position:absolute;flip:y" from="4335,10110" to="4335,10815" strokeweight="2.25pt"/>
          </v:group>
        </w:pict>
      </w:r>
    </w:p>
    <w:p w:rsidR="00032F71" w:rsidRPr="004E49C8" w:rsidRDefault="00032F71" w:rsidP="00032F71">
      <w:pPr>
        <w:pStyle w:val="a3"/>
      </w:pPr>
      <w:r w:rsidRPr="004E49C8">
        <w:tab/>
      </w:r>
      <w:r w:rsidRPr="004E49C8">
        <w:tab/>
        <w:t>2</w:t>
      </w:r>
    </w:p>
    <w:p w:rsidR="00032F71" w:rsidRPr="004E49C8" w:rsidRDefault="00032F71" w:rsidP="00032F71">
      <w:pPr>
        <w:pStyle w:val="a3"/>
      </w:pPr>
    </w:p>
    <w:p w:rsidR="00032F71" w:rsidRPr="004E49C8" w:rsidRDefault="00032F71" w:rsidP="00032F71">
      <w:pPr>
        <w:pStyle w:val="a3"/>
      </w:pPr>
    </w:p>
    <w:p w:rsidR="00032F71" w:rsidRPr="004E49C8" w:rsidRDefault="00032F71" w:rsidP="00032F71">
      <w:pPr>
        <w:pStyle w:val="a3"/>
      </w:pPr>
      <w:r w:rsidRPr="004E49C8">
        <w:tab/>
      </w:r>
      <w:r w:rsidRPr="004E49C8">
        <w:tab/>
        <w:t>3</w:t>
      </w:r>
    </w:p>
    <w:p w:rsidR="00032F71" w:rsidRPr="004E49C8" w:rsidRDefault="00032F71" w:rsidP="00032F71">
      <w:pPr>
        <w:pStyle w:val="a3"/>
      </w:pPr>
    </w:p>
    <w:p w:rsidR="00032F71" w:rsidRPr="004E49C8" w:rsidRDefault="00032F71" w:rsidP="00032F71">
      <w:pPr>
        <w:pStyle w:val="a3"/>
        <w:ind w:left="1273"/>
      </w:pPr>
    </w:p>
    <w:p w:rsidR="00032F71" w:rsidRPr="004E49C8" w:rsidRDefault="00032F71" w:rsidP="00032F71">
      <w:pPr>
        <w:pStyle w:val="a3"/>
        <w:ind w:left="1273"/>
      </w:pPr>
      <w:r w:rsidRPr="004E49C8">
        <w:t>Рисунок 14</w:t>
      </w:r>
    </w:p>
    <w:p w:rsidR="00032F71" w:rsidRPr="004E49C8" w:rsidRDefault="00032F71" w:rsidP="00032F71">
      <w:pPr>
        <w:pStyle w:val="a3"/>
        <w:ind w:left="1273"/>
      </w:pPr>
    </w:p>
    <w:p w:rsidR="00032F71" w:rsidRPr="004E49C8" w:rsidRDefault="00032F71" w:rsidP="00032F71">
      <w:pPr>
        <w:pStyle w:val="a5"/>
        <w:ind w:firstLine="851"/>
        <w:jc w:val="left"/>
        <w:rPr>
          <w:sz w:val="28"/>
        </w:rPr>
      </w:pPr>
      <w:r w:rsidRPr="004E49C8">
        <w:rPr>
          <w:sz w:val="28"/>
        </w:rPr>
        <w:t>Вероятность безотказной работы резервированной группы и средняя н</w:t>
      </w:r>
      <w:r w:rsidRPr="004E49C8">
        <w:rPr>
          <w:sz w:val="28"/>
        </w:rPr>
        <w:t>а</w:t>
      </w:r>
      <w:r w:rsidRPr="004E49C8">
        <w:rPr>
          <w:sz w:val="28"/>
        </w:rPr>
        <w:t xml:space="preserve">работка до отказа за время </w:t>
      </w:r>
      <w:r w:rsidRPr="004E49C8">
        <w:rPr>
          <w:sz w:val="28"/>
          <w:lang w:val="en-US"/>
        </w:rPr>
        <w:t>t</w:t>
      </w:r>
      <w:r w:rsidRPr="004E49C8">
        <w:rPr>
          <w:sz w:val="28"/>
        </w:rPr>
        <w:t xml:space="preserve"> определяются по формулам</w:t>
      </w:r>
    </w:p>
    <w:p w:rsidR="00032F71" w:rsidRPr="004E49C8" w:rsidRDefault="00032F71" w:rsidP="00032F71">
      <w:pPr>
        <w:pStyle w:val="a5"/>
        <w:ind w:firstLine="0"/>
        <w:jc w:val="right"/>
        <w:rPr>
          <w:sz w:val="28"/>
        </w:rPr>
      </w:pPr>
      <w:r w:rsidRPr="004E49C8">
        <w:rPr>
          <w:position w:val="-12"/>
          <w:sz w:val="28"/>
          <w:lang w:val="en-US"/>
        </w:rPr>
        <w:object w:dxaOrig="3000" w:dyaOrig="380">
          <v:shape id="_x0000_i1038" type="#_x0000_t75" style="width:240pt;height:30pt" o:ole="">
            <v:imagedata r:id="rId31" o:title=""/>
          </v:shape>
          <o:OLEObject Type="Embed" ProgID="Equation.3" ShapeID="_x0000_i1038" DrawAspect="Content" ObjectID="_1503158118" r:id="rId32"/>
        </w:object>
      </w:r>
      <w:r w:rsidRPr="004E49C8">
        <w:rPr>
          <w:sz w:val="28"/>
        </w:rPr>
        <w:tab/>
      </w:r>
      <w:r w:rsidRPr="004E49C8">
        <w:rPr>
          <w:sz w:val="28"/>
        </w:rPr>
        <w:tab/>
      </w:r>
      <w:r w:rsidRPr="004E49C8">
        <w:rPr>
          <w:sz w:val="28"/>
        </w:rPr>
        <w:tab/>
      </w:r>
      <w:r w:rsidRPr="004E49C8">
        <w:rPr>
          <w:sz w:val="28"/>
        </w:rPr>
        <w:tab/>
        <w:t>(47)</w:t>
      </w:r>
    </w:p>
    <w:p w:rsidR="00032F71" w:rsidRPr="004E49C8" w:rsidRDefault="00032F71" w:rsidP="00032F71">
      <w:pPr>
        <w:pStyle w:val="a5"/>
        <w:ind w:firstLine="0"/>
        <w:jc w:val="center"/>
        <w:rPr>
          <w:sz w:val="28"/>
        </w:rPr>
      </w:pPr>
    </w:p>
    <w:p w:rsidR="00032F71" w:rsidRPr="004E49C8" w:rsidRDefault="00032F71" w:rsidP="00032F71">
      <w:pPr>
        <w:pStyle w:val="a5"/>
        <w:ind w:firstLine="0"/>
        <w:jc w:val="right"/>
        <w:rPr>
          <w:sz w:val="28"/>
        </w:rPr>
      </w:pPr>
      <w:r w:rsidRPr="004E49C8">
        <w:rPr>
          <w:position w:val="-24"/>
          <w:sz w:val="28"/>
          <w:lang w:val="en-US"/>
        </w:rPr>
        <w:object w:dxaOrig="2780" w:dyaOrig="620">
          <v:shape id="_x0000_i1039" type="#_x0000_t75" style="width:189.75pt;height:42pt" o:ole="">
            <v:imagedata r:id="rId33" o:title=""/>
          </v:shape>
          <o:OLEObject Type="Embed" ProgID="Equation.3" ShapeID="_x0000_i1039" DrawAspect="Content" ObjectID="_1503158119" r:id="rId34"/>
        </w:object>
      </w:r>
      <w:r w:rsidRPr="004E49C8">
        <w:rPr>
          <w:sz w:val="28"/>
        </w:rPr>
        <w:tab/>
      </w:r>
      <w:r w:rsidRPr="004E49C8">
        <w:rPr>
          <w:sz w:val="28"/>
        </w:rPr>
        <w:tab/>
      </w:r>
      <w:r w:rsidRPr="004E49C8">
        <w:rPr>
          <w:sz w:val="28"/>
        </w:rPr>
        <w:tab/>
      </w:r>
      <w:r w:rsidRPr="004E49C8">
        <w:rPr>
          <w:sz w:val="28"/>
        </w:rPr>
        <w:tab/>
        <w:t>(48)</w:t>
      </w:r>
    </w:p>
    <w:p w:rsidR="00032F71" w:rsidRPr="004E49C8" w:rsidRDefault="00032F71" w:rsidP="00032F71">
      <w:pPr>
        <w:pStyle w:val="a5"/>
        <w:ind w:firstLine="0"/>
        <w:jc w:val="center"/>
        <w:rPr>
          <w:sz w:val="28"/>
        </w:rPr>
      </w:pPr>
    </w:p>
    <w:p w:rsidR="00F53F2E" w:rsidRDefault="00F53F2E" w:rsidP="00032F71"/>
    <w:sectPr w:rsidR="00F53F2E" w:rsidSect="00F53F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B714ED"/>
    <w:multiLevelType w:val="hybridMultilevel"/>
    <w:tmpl w:val="202821B0"/>
    <w:lvl w:ilvl="0" w:tplc="BF826B7E">
      <w:start w:val="1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32F71"/>
    <w:rsid w:val="00032F71"/>
    <w:rsid w:val="00F53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F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32F71"/>
    <w:pPr>
      <w:ind w:firstLine="851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032F7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5">
    <w:name w:val="ОсновнойТекст"/>
    <w:basedOn w:val="a"/>
    <w:rsid w:val="00032F71"/>
    <w:pPr>
      <w:ind w:firstLine="567"/>
      <w:jc w:val="both"/>
    </w:pPr>
    <w:rPr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661</Words>
  <Characters>3773</Characters>
  <Application>Microsoft Office Word</Application>
  <DocSecurity>0</DocSecurity>
  <Lines>31</Lines>
  <Paragraphs>8</Paragraphs>
  <ScaleCrop>false</ScaleCrop>
  <Company/>
  <LinksUpToDate>false</LinksUpToDate>
  <CharactersWithSpaces>4426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2015-09-07T13:03:00Z</dcterms:created>
  <dcterms:modified xsi:type="dcterms:W3CDTF">2015-09-07T13:05:00Z</dcterms:modified>
</cp:coreProperties>
</file>