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C2B" w:rsidRPr="004E49C8" w:rsidRDefault="00575C2B" w:rsidP="00575C2B">
      <w:pPr>
        <w:pStyle w:val="a3"/>
        <w:ind w:firstLine="0"/>
        <w:jc w:val="center"/>
        <w:rPr>
          <w:bCs/>
          <w:szCs w:val="28"/>
        </w:rPr>
      </w:pPr>
      <w:r w:rsidRPr="004E49C8">
        <w:rPr>
          <w:color w:val="000000"/>
          <w:szCs w:val="28"/>
        </w:rPr>
        <w:t xml:space="preserve">5 </w:t>
      </w:r>
      <w:r w:rsidRPr="004E49C8">
        <w:rPr>
          <w:szCs w:val="28"/>
        </w:rPr>
        <w:t xml:space="preserve">ИДЕНТИФИКАЦИЯ ЗАКОНОВ РАСПРЕДЕЛЕНИЯ ВРЕМЕНИ ОТКАЗОВ. </w:t>
      </w:r>
      <w:r w:rsidRPr="004E49C8">
        <w:rPr>
          <w:szCs w:val="28"/>
        </w:rPr>
        <w:br/>
        <w:t>КРИТЕРИЙ КОЛМАГ</w:t>
      </w:r>
      <w:r w:rsidRPr="004E49C8">
        <w:rPr>
          <w:szCs w:val="28"/>
        </w:rPr>
        <w:t>О</w:t>
      </w:r>
      <w:r w:rsidRPr="004E49C8">
        <w:rPr>
          <w:szCs w:val="28"/>
        </w:rPr>
        <w:t>РОВА</w:t>
      </w:r>
      <w:r w:rsidRPr="004E49C8">
        <w:rPr>
          <w:bCs/>
          <w:szCs w:val="28"/>
        </w:rPr>
        <w:t xml:space="preserve"> </w:t>
      </w: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Определение закона распределения отказов имеет большое значение при исследованиях и оценках надежности. Определение P(</w:t>
      </w:r>
      <w:proofErr w:type="spellStart"/>
      <w:r w:rsidRPr="004E49C8">
        <w:rPr>
          <w:sz w:val="28"/>
          <w:szCs w:val="28"/>
        </w:rPr>
        <w:t>t</w:t>
      </w:r>
      <w:proofErr w:type="spellEnd"/>
      <w:r w:rsidRPr="004E49C8">
        <w:rPr>
          <w:sz w:val="28"/>
          <w:szCs w:val="28"/>
        </w:rPr>
        <w:t>) по одной и той же и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ходной информации о T, но при различных предположениях о законе распределения может привести к существенно отл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чающимся результатам.</w:t>
      </w:r>
    </w:p>
    <w:p w:rsidR="00575C2B" w:rsidRPr="004E49C8" w:rsidRDefault="00575C2B" w:rsidP="00575C2B">
      <w:pPr>
        <w:jc w:val="both"/>
        <w:rPr>
          <w:sz w:val="28"/>
          <w:szCs w:val="28"/>
        </w:rPr>
      </w:pPr>
    </w:p>
    <w:p w:rsidR="00575C2B" w:rsidRPr="004E49C8" w:rsidRDefault="00575C2B" w:rsidP="00575C2B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Закон распределения отказов можно определить по экспериментальным данным, но для этого необходимо проведение большого числа опытов в иде</w:t>
      </w:r>
      <w:r w:rsidRPr="004E49C8">
        <w:rPr>
          <w:sz w:val="28"/>
          <w:szCs w:val="28"/>
        </w:rPr>
        <w:t>н</w:t>
      </w:r>
      <w:r w:rsidRPr="004E49C8">
        <w:rPr>
          <w:sz w:val="28"/>
          <w:szCs w:val="28"/>
        </w:rPr>
        <w:t>тичных условиях. Практически эти условия, как правило, трудно обеспечить. Кроме того, такое решение содержит черты па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сивной регистрации событий.</w:t>
      </w:r>
    </w:p>
    <w:p w:rsidR="00575C2B" w:rsidRPr="004E49C8" w:rsidRDefault="00575C2B" w:rsidP="00575C2B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Вместе с тем во многих случаях за время эксплуатации успевает отказать лишь незначительная доля первоначально имевшихся объектов. Полученным статистическим данным соответствует начальная (левая) часть экспериме</w:t>
      </w:r>
      <w:r w:rsidRPr="004E49C8">
        <w:rPr>
          <w:sz w:val="28"/>
          <w:szCs w:val="28"/>
        </w:rPr>
        <w:t>н</w:t>
      </w:r>
      <w:r w:rsidRPr="004E49C8">
        <w:rPr>
          <w:sz w:val="28"/>
          <w:szCs w:val="28"/>
        </w:rPr>
        <w:t>тального распределения.</w:t>
      </w:r>
    </w:p>
    <w:p w:rsidR="00575C2B" w:rsidRPr="004E49C8" w:rsidRDefault="00575C2B" w:rsidP="00575C2B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Более рационально - изучение условий, физических процессов при кот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рых возникает то или другое распределение. При этом составляются модели возникновения отказов и соответс</w:t>
      </w:r>
      <w:r w:rsidRPr="004E49C8">
        <w:rPr>
          <w:sz w:val="28"/>
          <w:szCs w:val="28"/>
        </w:rPr>
        <w:t>т</w:t>
      </w:r>
      <w:r w:rsidRPr="004E49C8">
        <w:rPr>
          <w:sz w:val="28"/>
          <w:szCs w:val="28"/>
        </w:rPr>
        <w:t>вующие им законы распределения времени до появления отказа, что позволяет делать обоснованные предположения о з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коне распределения.</w:t>
      </w:r>
    </w:p>
    <w:p w:rsidR="00575C2B" w:rsidRPr="004E49C8" w:rsidRDefault="00575C2B" w:rsidP="00575C2B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Опытные данные должны служить средством проверки обоснованности прогноза, а не единственным источником данных о законе распределения. Т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кой подход необходим для оценки надежности новых изделий, для которых стат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стический материал весьма ограничен.</w:t>
      </w:r>
    </w:p>
    <w:p w:rsidR="00575C2B" w:rsidRPr="004E49C8" w:rsidRDefault="00575C2B" w:rsidP="00575C2B">
      <w:pPr>
        <w:pStyle w:val="a3"/>
        <w:jc w:val="both"/>
        <w:rPr>
          <w:szCs w:val="28"/>
        </w:rPr>
      </w:pPr>
      <w:r w:rsidRPr="004E49C8">
        <w:rPr>
          <w:szCs w:val="28"/>
        </w:rPr>
        <w:t>Исходными данными для определения закона распределения являются время безотказной работы или время восстановления и число отказов, к</w:t>
      </w:r>
      <w:r w:rsidRPr="004E49C8">
        <w:rPr>
          <w:szCs w:val="28"/>
        </w:rPr>
        <w:t>о</w:t>
      </w:r>
      <w:r w:rsidRPr="004E49C8">
        <w:rPr>
          <w:szCs w:val="28"/>
        </w:rPr>
        <w:t>торые заносятся в таблицы 1 или 2. Порядок обработки данных следующий:</w:t>
      </w:r>
    </w:p>
    <w:p w:rsidR="00575C2B" w:rsidRPr="004E49C8" w:rsidRDefault="00575C2B" w:rsidP="00575C2B">
      <w:pPr>
        <w:pStyle w:val="a3"/>
        <w:numPr>
          <w:ilvl w:val="0"/>
          <w:numId w:val="1"/>
        </w:numPr>
        <w:jc w:val="both"/>
        <w:rPr>
          <w:szCs w:val="28"/>
        </w:rPr>
      </w:pPr>
      <w:r w:rsidRPr="004E49C8">
        <w:rPr>
          <w:szCs w:val="28"/>
        </w:rPr>
        <w:t>подготовка экспериментальных данных и заполнение таблиц;</w:t>
      </w:r>
    </w:p>
    <w:p w:rsidR="00575C2B" w:rsidRPr="004E49C8" w:rsidRDefault="00575C2B" w:rsidP="00575C2B">
      <w:pPr>
        <w:pStyle w:val="a3"/>
        <w:numPr>
          <w:ilvl w:val="0"/>
          <w:numId w:val="1"/>
        </w:numPr>
        <w:jc w:val="both"/>
        <w:rPr>
          <w:szCs w:val="28"/>
        </w:rPr>
      </w:pPr>
      <w:r w:rsidRPr="004E49C8">
        <w:rPr>
          <w:szCs w:val="28"/>
        </w:rPr>
        <w:t>построение экспериментальных кривых оцениваемого показателя н</w:t>
      </w:r>
      <w:r w:rsidRPr="004E49C8">
        <w:rPr>
          <w:szCs w:val="28"/>
        </w:rPr>
        <w:t>а</w:t>
      </w:r>
      <w:r w:rsidRPr="004E49C8">
        <w:rPr>
          <w:szCs w:val="28"/>
        </w:rPr>
        <w:t>дежности или аппроксимация гистограммы;</w:t>
      </w:r>
    </w:p>
    <w:p w:rsidR="00575C2B" w:rsidRPr="004E49C8" w:rsidRDefault="00575C2B" w:rsidP="00575C2B">
      <w:pPr>
        <w:pStyle w:val="a3"/>
        <w:numPr>
          <w:ilvl w:val="0"/>
          <w:numId w:val="1"/>
        </w:numPr>
        <w:jc w:val="both"/>
        <w:rPr>
          <w:szCs w:val="28"/>
        </w:rPr>
      </w:pPr>
      <w:r w:rsidRPr="004E49C8">
        <w:rPr>
          <w:szCs w:val="28"/>
        </w:rPr>
        <w:t>подбор теоретического закона распределения как показано на рисунке 5;</w:t>
      </w:r>
    </w:p>
    <w:p w:rsidR="00575C2B" w:rsidRPr="004E49C8" w:rsidRDefault="00575C2B" w:rsidP="00575C2B">
      <w:pPr>
        <w:pStyle w:val="a3"/>
        <w:numPr>
          <w:ilvl w:val="0"/>
          <w:numId w:val="1"/>
        </w:numPr>
        <w:jc w:val="both"/>
        <w:rPr>
          <w:szCs w:val="28"/>
        </w:rPr>
      </w:pPr>
      <w:r w:rsidRPr="004E49C8">
        <w:rPr>
          <w:szCs w:val="28"/>
        </w:rPr>
        <w:t xml:space="preserve">проверка предполагаемого </w:t>
      </w:r>
      <w:proofErr w:type="gramStart"/>
      <w:r w:rsidRPr="004E49C8">
        <w:rPr>
          <w:szCs w:val="28"/>
        </w:rPr>
        <w:t>закона по критерию</w:t>
      </w:r>
      <w:proofErr w:type="gramEnd"/>
      <w:r w:rsidRPr="004E49C8">
        <w:rPr>
          <w:szCs w:val="28"/>
        </w:rPr>
        <w:t xml:space="preserve"> согласия </w:t>
      </w:r>
      <w:proofErr w:type="spellStart"/>
      <w:r w:rsidRPr="004E49C8">
        <w:rPr>
          <w:szCs w:val="28"/>
        </w:rPr>
        <w:t>Колмагорова</w:t>
      </w:r>
      <w:proofErr w:type="spellEnd"/>
      <w:r w:rsidRPr="004E49C8">
        <w:rPr>
          <w:szCs w:val="28"/>
        </w:rPr>
        <w:t>.</w:t>
      </w:r>
    </w:p>
    <w:p w:rsidR="00575C2B" w:rsidRPr="004E49C8" w:rsidRDefault="00575C2B" w:rsidP="00575C2B">
      <w:pPr>
        <w:pStyle w:val="a3"/>
        <w:jc w:val="both"/>
      </w:pPr>
      <w:r w:rsidRPr="004E49C8">
        <w:rPr>
          <w:szCs w:val="28"/>
        </w:rPr>
        <w:t>4.4.2 Таблица 1 используется для определения законов вероятности о</w:t>
      </w:r>
      <w:r w:rsidRPr="004E49C8">
        <w:rPr>
          <w:szCs w:val="28"/>
        </w:rPr>
        <w:t>т</w:t>
      </w:r>
      <w:r w:rsidRPr="004E49C8">
        <w:rPr>
          <w:szCs w:val="28"/>
        </w:rPr>
        <w:t>каза или безотказной работы по вариационному ряду. Таблица 2 используется для идентификации законов распределения и оценки параметров надежности по</w:t>
      </w:r>
      <w:r w:rsidRPr="004E49C8">
        <w:t xml:space="preserve"> гистогра</w:t>
      </w:r>
      <w:r w:rsidRPr="004E49C8">
        <w:t>м</w:t>
      </w:r>
      <w:r w:rsidRPr="004E49C8">
        <w:t xml:space="preserve">мам. </w:t>
      </w: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  <w:rPr>
          <w:lang w:val="en-US"/>
        </w:rPr>
      </w:pPr>
      <w:r w:rsidRPr="004E49C8">
        <w:t xml:space="preserve">Таблица </w:t>
      </w:r>
      <w:r w:rsidRPr="004E49C8">
        <w:rPr>
          <w:lang w:val="en-US"/>
        </w:rPr>
        <w:t>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3"/>
        <w:gridCol w:w="829"/>
        <w:gridCol w:w="2351"/>
        <w:gridCol w:w="3123"/>
        <w:gridCol w:w="2207"/>
      </w:tblGrid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</w:rPr>
              <w:object w:dxaOrig="20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31.5pt" o:ole="">
                  <v:imagedata r:id="rId5" o:title=""/>
                </v:shape>
                <o:OLEObject Type="Embed" ProgID="Equation.3" ShapeID="_x0000_i1025" DrawAspect="Content" ObjectID="_1503157585" r:id="rId6"/>
              </w:object>
            </w:r>
          </w:p>
        </w:tc>
        <w:tc>
          <w:tcPr>
            <w:tcW w:w="85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240" w:dyaOrig="360">
                <v:shape id="_x0000_i1026" type="#_x0000_t75" style="width:20.25pt;height:30pt" o:ole="">
                  <v:imagedata r:id="rId7" o:title=""/>
                </v:shape>
                <o:OLEObject Type="Embed" ProgID="Equation.3" ShapeID="_x0000_i1026" DrawAspect="Content" ObjectID="_1503157586" r:id="rId8"/>
              </w:object>
            </w:r>
          </w:p>
        </w:tc>
        <w:tc>
          <w:tcPr>
            <w:tcW w:w="241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28"/>
                <w:lang w:val="en-US"/>
              </w:rPr>
              <w:object w:dxaOrig="1100" w:dyaOrig="680">
                <v:shape id="_x0000_i1027" type="#_x0000_t75" style="width:78pt;height:48pt" o:ole="">
                  <v:imagedata r:id="rId9" o:title=""/>
                </v:shape>
                <o:OLEObject Type="Embed" ProgID="Equation.3" ShapeID="_x0000_i1027" DrawAspect="Content" ObjectID="_1503157587" r:id="rId10"/>
              </w:object>
            </w:r>
          </w:p>
        </w:tc>
        <w:tc>
          <w:tcPr>
            <w:tcW w:w="326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60"/>
                <w:lang w:val="en-US"/>
              </w:rPr>
              <w:object w:dxaOrig="1140" w:dyaOrig="999">
                <v:shape id="_x0000_i1028" type="#_x0000_t75" style="width:77.25pt;height:68.25pt" o:ole="">
                  <v:imagedata r:id="rId11" o:title=""/>
                </v:shape>
                <o:OLEObject Type="Embed" ProgID="Equation.3" ShapeID="_x0000_i1028" DrawAspect="Content" ObjectID="_1503157588" r:id="rId12"/>
              </w:object>
            </w: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1140" w:dyaOrig="380">
                <v:shape id="_x0000_i1029" type="#_x0000_t75" style="width:87pt;height:28.5pt" o:ole="">
                  <v:imagedata r:id="rId13" o:title=""/>
                </v:shape>
                <o:OLEObject Type="Embed" ProgID="Equation.3" ShapeID="_x0000_i1029" DrawAspect="Content" ObjectID="_1503157589" r:id="rId14"/>
              </w:object>
            </w: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0"/>
                <w:lang w:val="en-US"/>
              </w:rPr>
              <w:object w:dxaOrig="200" w:dyaOrig="340">
                <v:shape id="_x0000_i1030" type="#_x0000_t75" style="width:17.25pt;height:30.75pt" o:ole="">
                  <v:imagedata r:id="rId15" o:title=""/>
                </v:shape>
                <o:OLEObject Type="Embed" ProgID="Equation.3" ShapeID="_x0000_i1030" DrawAspect="Content" ObjectID="_1503157590" r:id="rId16"/>
              </w:object>
            </w:r>
          </w:p>
        </w:tc>
        <w:tc>
          <w:tcPr>
            <w:tcW w:w="85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  <w:rPr>
                <w:iCs/>
                <w:sz w:val="32"/>
              </w:rPr>
            </w:pPr>
            <w:r w:rsidRPr="004E49C8">
              <w:rPr>
                <w:iCs/>
                <w:sz w:val="32"/>
              </w:rPr>
              <w:t>1</w:t>
            </w:r>
          </w:p>
        </w:tc>
        <w:tc>
          <w:tcPr>
            <w:tcW w:w="241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326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t>…</w:t>
            </w:r>
          </w:p>
        </w:tc>
        <w:tc>
          <w:tcPr>
            <w:tcW w:w="85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iCs/>
                <w:sz w:val="32"/>
              </w:rPr>
              <w:t>1</w:t>
            </w:r>
          </w:p>
        </w:tc>
        <w:tc>
          <w:tcPr>
            <w:tcW w:w="241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326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0"/>
                <w:lang w:val="en-US"/>
              </w:rPr>
              <w:object w:dxaOrig="200" w:dyaOrig="340">
                <v:shape id="_x0000_i1031" type="#_x0000_t75" style="width:15.75pt;height:28.5pt" o:ole="">
                  <v:imagedata r:id="rId15" o:title=""/>
                </v:shape>
                <o:OLEObject Type="Embed" ProgID="Equation.3" ShapeID="_x0000_i1031" DrawAspect="Content" ObjectID="_1503157591" r:id="rId17"/>
              </w:object>
            </w:r>
          </w:p>
        </w:tc>
        <w:tc>
          <w:tcPr>
            <w:tcW w:w="85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iCs/>
                <w:sz w:val="32"/>
              </w:rPr>
              <w:t>1</w:t>
            </w:r>
          </w:p>
        </w:tc>
        <w:tc>
          <w:tcPr>
            <w:tcW w:w="241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326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t>…</w:t>
            </w:r>
          </w:p>
        </w:tc>
        <w:tc>
          <w:tcPr>
            <w:tcW w:w="85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iCs/>
                <w:sz w:val="32"/>
              </w:rPr>
              <w:t>1</w:t>
            </w:r>
          </w:p>
        </w:tc>
        <w:tc>
          <w:tcPr>
            <w:tcW w:w="241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326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220" w:dyaOrig="360">
                <v:shape id="_x0000_i1032" type="#_x0000_t75" style="width:17.25pt;height:27.75pt" o:ole="">
                  <v:imagedata r:id="rId18" o:title=""/>
                </v:shape>
                <o:OLEObject Type="Embed" ProgID="Equation.3" ShapeID="_x0000_i1032" DrawAspect="Content" ObjectID="_1503157592" r:id="rId19"/>
              </w:object>
            </w:r>
          </w:p>
        </w:tc>
        <w:tc>
          <w:tcPr>
            <w:tcW w:w="850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iCs/>
                <w:sz w:val="32"/>
              </w:rPr>
              <w:t>1</w:t>
            </w:r>
          </w:p>
        </w:tc>
        <w:tc>
          <w:tcPr>
            <w:tcW w:w="241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3260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</w:tbl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  <w:rPr>
          <w:lang w:val="en-US"/>
        </w:rPr>
      </w:pPr>
      <w:r w:rsidRPr="004E49C8">
        <w:t>Таблица</w:t>
      </w:r>
      <w:r w:rsidRPr="004E49C8">
        <w:rPr>
          <w:lang w:val="en-US"/>
        </w:rPr>
        <w:t xml:space="preserve">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0"/>
        <w:gridCol w:w="1221"/>
        <w:gridCol w:w="2678"/>
        <w:gridCol w:w="2455"/>
        <w:gridCol w:w="2259"/>
      </w:tblGrid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340" w:dyaOrig="360">
                <v:shape id="_x0000_i1033" type="#_x0000_t75" style="width:26.25pt;height:27pt" o:ole="">
                  <v:imagedata r:id="rId20" o:title=""/>
                </v:shape>
                <o:OLEObject Type="Embed" ProgID="Equation.3" ShapeID="_x0000_i1033" DrawAspect="Content" ObjectID="_1503157593" r:id="rId21"/>
              </w:object>
            </w:r>
          </w:p>
        </w:tc>
        <w:tc>
          <w:tcPr>
            <w:tcW w:w="126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660" w:dyaOrig="360">
                <v:shape id="_x0000_i1034" type="#_x0000_t75" style="width:48pt;height:26.25pt" o:ole="">
                  <v:imagedata r:id="rId22" o:title=""/>
                </v:shape>
                <o:OLEObject Type="Embed" ProgID="Equation.3" ShapeID="_x0000_i1034" DrawAspect="Content" ObjectID="_1503157594" r:id="rId23"/>
              </w:object>
            </w:r>
          </w:p>
        </w:tc>
        <w:tc>
          <w:tcPr>
            <w:tcW w:w="2678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30"/>
                <w:lang w:val="en-US"/>
              </w:rPr>
              <w:object w:dxaOrig="1780" w:dyaOrig="700">
                <v:shape id="_x0000_i1035" type="#_x0000_t75" style="width:123pt;height:48.75pt" o:ole="">
                  <v:imagedata r:id="rId24" o:title=""/>
                </v:shape>
                <o:OLEObject Type="Embed" ProgID="Equation.3" ShapeID="_x0000_i1035" DrawAspect="Content" ObjectID="_1503157595" r:id="rId25"/>
              </w:object>
            </w:r>
          </w:p>
        </w:tc>
        <w:tc>
          <w:tcPr>
            <w:tcW w:w="261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30"/>
                <w:lang w:val="en-US"/>
              </w:rPr>
              <w:object w:dxaOrig="1400" w:dyaOrig="680">
                <v:shape id="_x0000_i1036" type="#_x0000_t75" style="width:104.25pt;height:51pt" o:ole="">
                  <v:imagedata r:id="rId26" o:title=""/>
                </v:shape>
                <o:OLEObject Type="Embed" ProgID="Equation.3" ShapeID="_x0000_i1036" DrawAspect="Content" ObjectID="_1503157596" r:id="rId27"/>
              </w:object>
            </w: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32"/>
                <w:lang w:val="en-US"/>
              </w:rPr>
              <w:object w:dxaOrig="1480" w:dyaOrig="720">
                <v:shape id="_x0000_i1037" type="#_x0000_t75" style="width:102pt;height:49.5pt" o:ole="">
                  <v:imagedata r:id="rId28" o:title=""/>
                </v:shape>
                <o:OLEObject Type="Embed" ProgID="Equation.3" ShapeID="_x0000_i1037" DrawAspect="Content" ObjectID="_1503157597" r:id="rId29"/>
              </w:object>
            </w: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0"/>
                <w:lang w:val="en-US"/>
              </w:rPr>
              <w:object w:dxaOrig="360" w:dyaOrig="340">
                <v:shape id="_x0000_i1038" type="#_x0000_t75" style="width:26.25pt;height:25.5pt" o:ole="">
                  <v:imagedata r:id="rId30" o:title=""/>
                </v:shape>
                <o:OLEObject Type="Embed" ProgID="Equation.3" ShapeID="_x0000_i1038" DrawAspect="Content" ObjectID="_1503157598" r:id="rId31"/>
              </w:object>
            </w:r>
          </w:p>
        </w:tc>
        <w:tc>
          <w:tcPr>
            <w:tcW w:w="126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  <w:rPr>
                <w:iCs/>
                <w:sz w:val="32"/>
              </w:rPr>
            </w:pPr>
          </w:p>
        </w:tc>
        <w:tc>
          <w:tcPr>
            <w:tcW w:w="2678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619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</w:p>
        </w:tc>
        <w:tc>
          <w:tcPr>
            <w:tcW w:w="126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</w:p>
        </w:tc>
        <w:tc>
          <w:tcPr>
            <w:tcW w:w="2678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619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340" w:dyaOrig="360">
                <v:shape id="_x0000_i1039" type="#_x0000_t75" style="width:26.25pt;height:27pt" o:ole="">
                  <v:imagedata r:id="rId20" o:title=""/>
                </v:shape>
                <o:OLEObject Type="Embed" ProgID="Equation.3" ShapeID="_x0000_i1039" DrawAspect="Content" ObjectID="_1503157599" r:id="rId32"/>
              </w:object>
            </w:r>
          </w:p>
        </w:tc>
        <w:tc>
          <w:tcPr>
            <w:tcW w:w="126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</w:p>
        </w:tc>
        <w:tc>
          <w:tcPr>
            <w:tcW w:w="2678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619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</w:p>
        </w:tc>
        <w:tc>
          <w:tcPr>
            <w:tcW w:w="126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</w:p>
        </w:tc>
        <w:tc>
          <w:tcPr>
            <w:tcW w:w="2678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619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  <w:tr w:rsidR="00575C2B" w:rsidRPr="004E49C8" w:rsidTr="00B347D6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  <w:r w:rsidRPr="004E49C8">
              <w:rPr>
                <w:position w:val="-12"/>
                <w:lang w:val="en-US"/>
              </w:rPr>
              <w:object w:dxaOrig="380" w:dyaOrig="360">
                <v:shape id="_x0000_i1040" type="#_x0000_t75" style="width:27pt;height:26.25pt" o:ole="">
                  <v:imagedata r:id="rId33" o:title=""/>
                </v:shape>
                <o:OLEObject Type="Embed" ProgID="Equation.3" ShapeID="_x0000_i1040" DrawAspect="Content" ObjectID="_1503157600" r:id="rId34"/>
              </w:object>
            </w:r>
          </w:p>
        </w:tc>
        <w:tc>
          <w:tcPr>
            <w:tcW w:w="1269" w:type="dxa"/>
          </w:tcPr>
          <w:p w:rsidR="00575C2B" w:rsidRPr="004E49C8" w:rsidRDefault="00575C2B" w:rsidP="00B347D6">
            <w:pPr>
              <w:pStyle w:val="a3"/>
              <w:ind w:firstLine="0"/>
              <w:jc w:val="center"/>
            </w:pPr>
          </w:p>
        </w:tc>
        <w:tc>
          <w:tcPr>
            <w:tcW w:w="2678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619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  <w:tc>
          <w:tcPr>
            <w:tcW w:w="2233" w:type="dxa"/>
          </w:tcPr>
          <w:p w:rsidR="00575C2B" w:rsidRPr="004E49C8" w:rsidRDefault="00575C2B" w:rsidP="00B347D6">
            <w:pPr>
              <w:pStyle w:val="a3"/>
              <w:ind w:firstLine="0"/>
            </w:pPr>
          </w:p>
        </w:tc>
      </w:tr>
    </w:tbl>
    <w:p w:rsidR="00575C2B" w:rsidRPr="004E49C8" w:rsidRDefault="00575C2B" w:rsidP="00575C2B">
      <w:pPr>
        <w:pStyle w:val="a3"/>
        <w:ind w:firstLine="0"/>
      </w:pPr>
    </w:p>
    <w:p w:rsidR="00575C2B" w:rsidRPr="004E49C8" w:rsidRDefault="00575C2B" w:rsidP="00575C2B">
      <w:pPr>
        <w:pStyle w:val="a3"/>
        <w:jc w:val="both"/>
      </w:pPr>
      <w:r w:rsidRPr="004E49C8">
        <w:t>Проверка гипотезы принятого закона распределения отказов осущест</w:t>
      </w:r>
      <w:r w:rsidRPr="004E49C8">
        <w:t>в</w:t>
      </w:r>
      <w:r w:rsidRPr="004E49C8">
        <w:t xml:space="preserve">ляется по законам согласия Пирсона или </w:t>
      </w:r>
      <w:proofErr w:type="spellStart"/>
      <w:r w:rsidRPr="004E49C8">
        <w:t>Колмагорова</w:t>
      </w:r>
      <w:proofErr w:type="spellEnd"/>
      <w:r w:rsidRPr="004E49C8">
        <w:t xml:space="preserve">. </w:t>
      </w:r>
      <w:proofErr w:type="gramStart"/>
      <w:r w:rsidRPr="004E49C8">
        <w:t>Наибольшее</w:t>
      </w:r>
      <w:proofErr w:type="gramEnd"/>
      <w:r w:rsidRPr="004E49C8">
        <w:t xml:space="preserve"> распр</w:t>
      </w:r>
      <w:r w:rsidRPr="004E49C8">
        <w:t>о</w:t>
      </w:r>
      <w:r w:rsidRPr="004E49C8">
        <w:t xml:space="preserve">странения в практике обработки опытных данных получил критерий </w:t>
      </w:r>
      <w:proofErr w:type="spellStart"/>
      <w:r w:rsidRPr="004E49C8">
        <w:t>Колмаг</w:t>
      </w:r>
      <w:r w:rsidRPr="004E49C8">
        <w:t>о</w:t>
      </w:r>
      <w:r w:rsidRPr="004E49C8">
        <w:t>рова</w:t>
      </w:r>
      <w:proofErr w:type="spellEnd"/>
      <w:r w:rsidRPr="004E49C8">
        <w:t>.</w:t>
      </w:r>
    </w:p>
    <w:p w:rsidR="00575C2B" w:rsidRPr="004E49C8" w:rsidRDefault="00575C2B" w:rsidP="00575C2B">
      <w:pPr>
        <w:pStyle w:val="a3"/>
        <w:jc w:val="both"/>
      </w:pPr>
      <w:r w:rsidRPr="004E49C8">
        <w:t xml:space="preserve">На основании критерия </w:t>
      </w:r>
      <w:proofErr w:type="spellStart"/>
      <w:r w:rsidRPr="004E49C8">
        <w:t>Колмагорова</w:t>
      </w:r>
      <w:proofErr w:type="spellEnd"/>
      <w:r w:rsidRPr="004E49C8">
        <w:t xml:space="preserve"> экспериментальное распределение случайной величины согласуется с выбранным теоретическим распределением, если выполняется условие </w:t>
      </w:r>
    </w:p>
    <w:p w:rsidR="00575C2B" w:rsidRPr="004E49C8" w:rsidRDefault="00575C2B" w:rsidP="00575C2B">
      <w:pPr>
        <w:pStyle w:val="a3"/>
        <w:ind w:firstLine="0"/>
        <w:jc w:val="center"/>
      </w:pPr>
      <w:r w:rsidRPr="004E49C8">
        <w:rPr>
          <w:position w:val="-8"/>
          <w:lang w:val="en-US"/>
        </w:rPr>
        <w:object w:dxaOrig="900" w:dyaOrig="360">
          <v:shape id="_x0000_i1041" type="#_x0000_t75" style="width:66pt;height:26.25pt" o:ole="">
            <v:imagedata r:id="rId35" o:title=""/>
          </v:shape>
          <o:OLEObject Type="Embed" ProgID="Equation.3" ShapeID="_x0000_i1041" DrawAspect="Content" ObjectID="_1503157601" r:id="rId36"/>
        </w:object>
      </w:r>
      <w:r w:rsidRPr="004E49C8">
        <w:t>,</w:t>
      </w:r>
    </w:p>
    <w:p w:rsidR="00575C2B" w:rsidRPr="004E49C8" w:rsidRDefault="00575C2B" w:rsidP="00575C2B">
      <w:pPr>
        <w:pStyle w:val="a3"/>
        <w:jc w:val="both"/>
      </w:pPr>
      <w:r w:rsidRPr="004E49C8">
        <w:t xml:space="preserve">где </w:t>
      </w:r>
      <w:r w:rsidRPr="004E49C8">
        <w:rPr>
          <w:lang w:val="en-US"/>
        </w:rPr>
        <w:t>D</w:t>
      </w:r>
      <w:r w:rsidRPr="004E49C8">
        <w:t xml:space="preserve"> – наибольшее отклонение теоретической кривой </w:t>
      </w:r>
      <w:proofErr w:type="gramStart"/>
      <w:r w:rsidRPr="004E49C8">
        <w:t>от</w:t>
      </w:r>
      <w:proofErr w:type="gramEnd"/>
      <w:r w:rsidRPr="004E49C8">
        <w:t xml:space="preserve"> экспериме</w:t>
      </w:r>
      <w:r w:rsidRPr="004E49C8">
        <w:t>н</w:t>
      </w:r>
      <w:r w:rsidRPr="004E49C8">
        <w:t>тальной;</w:t>
      </w:r>
    </w:p>
    <w:p w:rsidR="00575C2B" w:rsidRPr="004E49C8" w:rsidRDefault="00575C2B" w:rsidP="00575C2B">
      <w:pPr>
        <w:pStyle w:val="a3"/>
        <w:jc w:val="both"/>
      </w:pPr>
      <w:r w:rsidRPr="004E49C8">
        <w:t xml:space="preserve">      </w:t>
      </w:r>
      <w:r w:rsidRPr="004E49C8">
        <w:rPr>
          <w:lang w:val="en-US"/>
        </w:rPr>
        <w:t>n</w:t>
      </w:r>
      <w:r w:rsidRPr="004E49C8">
        <w:t xml:space="preserve"> – </w:t>
      </w:r>
      <w:proofErr w:type="gramStart"/>
      <w:r w:rsidRPr="004E49C8">
        <w:t>число</w:t>
      </w:r>
      <w:proofErr w:type="gramEnd"/>
      <w:r w:rsidRPr="004E49C8">
        <w:t xml:space="preserve"> отказов.</w:t>
      </w:r>
    </w:p>
    <w:p w:rsidR="00575C2B" w:rsidRPr="004E49C8" w:rsidRDefault="00575C2B" w:rsidP="00575C2B">
      <w:pPr>
        <w:pStyle w:val="a3"/>
        <w:jc w:val="both"/>
      </w:pPr>
      <w:r w:rsidRPr="004E49C8">
        <w:t xml:space="preserve">Величина </w:t>
      </w:r>
      <w:r w:rsidRPr="004E49C8">
        <w:rPr>
          <w:lang w:val="en-US"/>
        </w:rPr>
        <w:t>D</w:t>
      </w:r>
      <w:r w:rsidRPr="004E49C8">
        <w:t xml:space="preserve"> определяется непосредственно по графику рисунка 5, где пунктирной линией показана экспериментальная кривая, а сплошной – теор</w:t>
      </w:r>
      <w:r w:rsidRPr="004E49C8">
        <w:t>е</w:t>
      </w:r>
      <w:r w:rsidRPr="004E49C8">
        <w:t>тическая кривая.</w:t>
      </w: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  <w:jc w:val="both"/>
      </w:pP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  <w:ind w:firstLine="0"/>
        <w:rPr>
          <w:iCs/>
          <w:sz w:val="36"/>
        </w:rPr>
      </w:pPr>
      <w:r w:rsidRPr="004E49C8">
        <w:rPr>
          <w:iCs/>
          <w:noProof/>
          <w:sz w:val="20"/>
        </w:rPr>
        <w:pict>
          <v:group id="_x0000_s1026" style="position:absolute;margin-left:53.55pt;margin-top:2.85pt;width:243pt;height:145.7pt;z-index:251660288" coordorigin="2250,1475" coordsize="4860,2914">
            <v:line id="_x0000_s1027" style="position:absolute" from="2310,4389" to="7110,4389" strokeweight="1.5pt">
              <v:stroke endarrow="block"/>
            </v:line>
            <v:line id="_x0000_s1028" style="position:absolute;flip:y" from="2265,1475" to="2265,4205" strokeweight="1.5pt">
              <v:stroke endarrow="block"/>
            </v:line>
            <v:shape id="_x0000_s1029" style="position:absolute;left:2250;top:2133;width:3870;height:2132" coordsize="3870,2132" path="m,2132c156,1873,313,1614,510,1397,707,1180,910,1012,1185,827,1460,642,1838,417,2160,287,2482,157,2835,94,3120,47,3405,,3637,1,3870,2e" filled="f" strokeweight="2.25pt">
              <v:path arrowok="t"/>
            </v:shape>
            <v:shape id="_x0000_s1030" style="position:absolute;left:2250;top:2178;width:3960;height:2072" coordsize="3960,2072" path="m,2072c217,1858,435,1644,645,1457v210,-187,413,-360,615,-510c1462,797,1633,674,1860,557,2087,440,2400,317,2625,242v225,-75,390,-98,585,-135c3405,70,3670,34,3795,17,3920,,3940,1,3960,2e" filled="f" strokeweight="2.25pt">
              <v:stroke dashstyle="dash"/>
              <v:path arrowok="t"/>
            </v:shape>
            <v:line id="_x0000_s1031" style="position:absolute" from="3060,3277" to="3060,3592" strokeweight="1.5pt"/>
            <v:line id="_x0000_s1032" style="position:absolute" from="3075,2645" to="3075,3170" strokeweight="1.5pt">
              <v:stroke endarrow="block"/>
            </v:line>
            <v:line id="_x0000_s1033" style="position:absolute;flip:y" from="3060,3577" to="3060,4087" strokeweight="1.5pt">
              <v:stroke endarrow="block"/>
            </v:line>
          </v:group>
        </w:pict>
      </w:r>
      <w:r w:rsidRPr="004E49C8">
        <w:rPr>
          <w:iCs/>
          <w:sz w:val="36"/>
        </w:rPr>
        <w:t xml:space="preserve">        </w:t>
      </w:r>
      <w:r w:rsidRPr="004E49C8">
        <w:rPr>
          <w:iCs/>
          <w:sz w:val="36"/>
          <w:lang w:val="en-US"/>
        </w:rPr>
        <w:t>Q</w:t>
      </w: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  <w:rPr>
          <w:iCs/>
          <w:sz w:val="36"/>
        </w:rPr>
      </w:pPr>
      <w:r w:rsidRPr="004E49C8">
        <w:tab/>
        <w:t xml:space="preserve"> </w:t>
      </w:r>
      <w:r w:rsidRPr="004E49C8">
        <w:rPr>
          <w:iCs/>
          <w:sz w:val="36"/>
          <w:lang w:val="en-US"/>
        </w:rPr>
        <w:t>D</w:t>
      </w: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</w:pPr>
    </w:p>
    <w:p w:rsidR="00575C2B" w:rsidRPr="004E49C8" w:rsidRDefault="00575C2B" w:rsidP="00575C2B">
      <w:pPr>
        <w:pStyle w:val="a3"/>
        <w:rPr>
          <w:iCs/>
          <w:sz w:val="36"/>
        </w:rPr>
      </w:pPr>
      <w:r w:rsidRPr="004E49C8">
        <w:rPr>
          <w:noProof/>
          <w:sz w:val="20"/>
        </w:rPr>
        <w:pict>
          <v:line id="_x0000_s1034" style="position:absolute;left:0;text-align:left;z-index:251661312" from="57.3pt,1.05pt" to="57.3pt,11.55pt" strokeweight="1.5pt"/>
        </w:pi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proofErr w:type="gramStart"/>
      <w:r w:rsidRPr="004E49C8">
        <w:rPr>
          <w:iCs/>
          <w:sz w:val="36"/>
          <w:lang w:val="en-US"/>
        </w:rPr>
        <w:t>t</w:t>
      </w:r>
      <w:proofErr w:type="gramEnd"/>
    </w:p>
    <w:p w:rsidR="00575C2B" w:rsidRPr="004E49C8" w:rsidRDefault="00575C2B" w:rsidP="00575C2B">
      <w:pPr>
        <w:pStyle w:val="a3"/>
        <w:ind w:left="1981"/>
      </w:pPr>
      <w:r w:rsidRPr="004E49C8">
        <w:t>Рисунок 5</w:t>
      </w:r>
    </w:p>
    <w:p w:rsidR="00575C2B" w:rsidRPr="004E49C8" w:rsidRDefault="00575C2B" w:rsidP="00575C2B">
      <w:pPr>
        <w:pStyle w:val="a3"/>
      </w:pPr>
    </w:p>
    <w:sectPr w:rsidR="00575C2B" w:rsidRPr="004E49C8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5C2B"/>
    <w:rsid w:val="00575C2B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75C2B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75C2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4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2015-09-07T12:57:00Z</dcterms:created>
  <dcterms:modified xsi:type="dcterms:W3CDTF">2015-09-07T12:57:00Z</dcterms:modified>
</cp:coreProperties>
</file>