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A32" w:rsidRPr="00D60A32" w:rsidRDefault="00D60A32" w:rsidP="00D60A32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13  МОД АРАЛЫҚ ДИСПЕРСИЯ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Аралық дисперсияның астынан әр түрлі модалар үшін бірліктік ұзындық сызығын уақыттық жол, әр мода өзінің φ бұрышының астында таралады, ол φ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КР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˃ φ˃0 аралықта өзгереді (6.1 сурет).  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Осьтік сәуле (φ =0 кезінде)  Т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= n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l/c уақыт аралығында l жол жүреді, ал φ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КР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максимальді кезде толық ішкі шағылу кезінде табылады, осы уақытта  Т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 xml:space="preserve">2 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 n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l/(n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2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c). 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B0AC015" wp14:editId="5677BDAB">
            <wp:extent cx="4210493" cy="1786270"/>
            <wp:effectExtent l="19050" t="0" r="0" b="0"/>
            <wp:docPr id="1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458" cy="178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6.1 -   Дисперсияның мод аралық ұйғарымы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4AB4335E" wp14:editId="7E238CB7">
            <wp:extent cx="1970703" cy="574158"/>
            <wp:effectExtent l="19050" t="0" r="0" b="0"/>
            <wp:docPr id="1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46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703" cy="574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(6.1)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Дисперсиясы мод аралық ППП-да градиент ТОБЖ-терiне түйiстiрiлген минимумға мүмкiн болу, ал оны бiр модалы талшықтардағы ұйғарым бойымен мүмкiн емес болу.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b/>
          <w:noProof/>
          <w:sz w:val="28"/>
          <w:szCs w:val="28"/>
          <w:lang w:val="kk-KZ" w:eastAsia="ru-RU"/>
        </w:rPr>
        <w:t>Есеп 1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Сандық апертура, мод көздiң ең жоғары жиынтықталмауы, сан қуаттың диффузиялық көзден талшық ендiрiлетiн үлесiн салыстыр және дисперсияның мод, мод аралық топтары және қабығы бар кварц талшығы үшiн ақпараттық сыйымдылық (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n</m:t>
            </m:r>
          </m:e>
          <m:sub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 1.51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n</m:t>
            </m:r>
          </m:e>
          <m:sub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2</m:t>
            </m:r>
          </m:sub>
        </m:sSub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=1.5 ) және қабықсыз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n</m:t>
            </m:r>
          </m:e>
          <m:sub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 1.51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n</m:t>
            </m:r>
          </m:e>
          <m:sub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2</m:t>
            </m:r>
          </m:sub>
        </m:sSub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=1 ) диаметр ортасы 2а=50мкм  және толқын ұзындығына 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λ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= 0, 85мкм.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Материалдық дисперсия талшықтың материалын дисперсиямен анықталады, яғни n(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λ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) тәуелдiлiкпен, мод аралыққа карағанда әдеттен кем бiраз маңызы болады. Сондықтан ол мод аралық дисперсия жоқ жағдайларында ескерiледi.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4DA3414" wp14:editId="320CB6D0">
            <wp:extent cx="1222744" cy="437034"/>
            <wp:effectExtent l="19050" t="0" r="0" b="0"/>
            <wp:docPr id="1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1224" r="54084" b="14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744" cy="437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                    (6.2)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Материалдық және мод ішіндегі дисперсияның бір модттық ВС-та  бірігіп қозғалуы хроматиялық дисперсия деп аталады.  Сонғы кезде әдебиетте хроматиялық дисперсия орнына, мысалы 7-18 бір модты ВС дисперсиондық параметр D=</w:t>
      </w:r>
      <m:oMath>
        <m: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-</m:t>
        </m:r>
        <m:f>
          <m:fPr>
            <m:type m:val="skw"/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="Times New Roman" w:hAnsi="Times New Roman" w:cs="Times New Roman"/>
                    <w:i/>
                    <w:noProof/>
                    <w:sz w:val="28"/>
                    <w:szCs w:val="28"/>
                    <w:lang w:val="kk-KZ" w:eastAsia="ru-RU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noProof/>
                        <w:sz w:val="28"/>
                        <w:szCs w:val="28"/>
                        <w:lang w:val="kk-KZ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Times New Roman" w:cs="Times New Roman"/>
                        <w:noProof/>
                        <w:sz w:val="28"/>
                        <w:szCs w:val="28"/>
                        <w:lang w:val="kk-KZ" w:eastAsia="ru-RU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noProof/>
                        <w:sz w:val="28"/>
                        <w:szCs w:val="28"/>
                        <w:lang w:val="kk-KZ" w:eastAsia="ru-RU"/>
                      </w:rPr>
                      <m:t>m</m:t>
                    </m:r>
                  </m:sub>
                </m:sSub>
              </m:e>
            </m:d>
          </m:num>
          <m:den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λc</m:t>
            </m:r>
          </m:den>
        </m:f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dPr>
          <m:e>
            <m:f>
              <m:fPr>
                <m:type m:val="lin"/>
                <m:ctrlPr>
                  <w:rPr>
                    <w:rFonts w:ascii="Cambria Math" w:eastAsia="Times New Roman" w:hAnsi="Times New Roman" w:cs="Times New Roman"/>
                    <w:i/>
                    <w:noProof/>
                    <w:sz w:val="28"/>
                    <w:szCs w:val="28"/>
                    <w:lang w:val="kk-KZ"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noProof/>
                    <w:sz w:val="28"/>
                    <w:szCs w:val="28"/>
                    <w:lang w:val="kk-KZ" w:eastAsia="ru-RU"/>
                  </w:rPr>
                  <m:t>пс</m:t>
                </m:r>
              </m:num>
              <m:den>
                <m:r>
                  <w:rPr>
                    <w:rFonts w:ascii="Cambria Math" w:eastAsia="Times New Roman" w:hAnsi="Cambria Math" w:cs="Times New Roman"/>
                    <w:noProof/>
                    <w:sz w:val="28"/>
                    <w:szCs w:val="28"/>
                    <w:lang w:val="kk-KZ" w:eastAsia="ru-RU"/>
                  </w:rPr>
                  <m:t>км*нм</m:t>
                </m:r>
              </m:den>
            </m:f>
          </m:e>
        </m:d>
        <m:r>
          <w:rPr>
            <w:rFonts w:ascii="Cambria Math" w:eastAsia="Times New Roman" w:hAnsi="Times New Roman" w:cs="Times New Roman"/>
            <w:noProof/>
            <w:sz w:val="28"/>
            <w:szCs w:val="28"/>
            <w:lang w:val="kk-KZ" w:eastAsia="ru-RU"/>
          </w:rPr>
          <m:t xml:space="preserve"> </m:t>
        </m:r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қолданады.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t xml:space="preserve">(6.2)-де көрініп турғандай </w:t>
      </w:r>
      <m:oMath>
        <m:f>
          <m:fPr>
            <m:type m:val="skw"/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noProof/>
                <w:sz w:val="28"/>
                <w:szCs w:val="28"/>
                <w:lang w:val="kk-KZ" w:eastAsia="ru-RU"/>
              </w:rPr>
              <m:t>∆</m:t>
            </m:r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T_MAI</m:t>
            </m:r>
          </m:num>
          <m:den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l</m:t>
            </m:r>
          </m:den>
        </m:f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спектрлiк сызықтың минималды енiмен көздiң таңдауымен азаюға болады, яғни  лазер диоды, жарық диод емес. 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Егер мод аралық және хроматиколық дисперсия минимизироваттаса, онда алде қайда жінішке жағдайды есептеу керек – мод ішіндегі дисперсия, бір модты ТОБЖ-да болатын, және поляризация дисперсиясы, талшықты қысудан пайда болады, ол әр түрлі топтық жылдамдыққа алып келеді.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Дисперсиянын әр түрінің табиғаты әр түрлі болсада да, оптикалық импульстын бурмалауында бірдей болып көрінеді. 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CCE1158" wp14:editId="787C3741">
            <wp:extent cx="2698130" cy="627321"/>
            <wp:effectExtent l="19050" t="0" r="6970" b="0"/>
            <wp:docPr id="1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463" r="45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130" cy="627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(6.3)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Алайда ақпатраттық сыйымдылықты және жиілік жолағын бағалауда есептеу керек нәрсе мод аралық дисперсияда оптикалық табиғаты бар және оптикалық жолақты </w:t>
      </w:r>
      <m:oMath>
        <m: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∆</m:t>
        </m:r>
        <m:sSub>
          <m:sSubPr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noProof/>
                <w:sz w:val="28"/>
                <w:szCs w:val="28"/>
                <w:lang w:val="kk-KZ" w:eastAsia="ru-RU"/>
              </w:rPr>
              <m:t>оп</m:t>
            </m:r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түсіндіреді. Мысалы, АМ  жиілігі екі есе кіші АМ- сигналы және шартты түрде былай белгіленеді  </w:t>
      </w:r>
      <m:oMath>
        <m: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∆</m:t>
        </m:r>
        <m:sSub>
          <m:sSubPr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noProof/>
                <w:sz w:val="28"/>
                <w:szCs w:val="28"/>
                <w:lang w:val="kk-KZ" w:eastAsia="ru-RU"/>
              </w:rPr>
              <m:t>оп</m:t>
            </m:r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≈</m:t>
        </m:r>
        <m:r>
          <w:rPr>
            <w:rFonts w:ascii="Cambria Math" w:eastAsia="Times New Roman" w:hAnsi="Times New Roman" w:cs="Times New Roman"/>
            <w:noProof/>
            <w:sz w:val="28"/>
            <w:szCs w:val="28"/>
            <w:lang w:val="kk-KZ" w:eastAsia="ru-RU"/>
          </w:rPr>
          <m:t>2</m:t>
        </m:r>
        <m: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∆</m:t>
        </m:r>
        <m:sSub>
          <m:sSubPr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f</m:t>
            </m:r>
          </m:e>
          <m:sub>
            <m:r>
              <w:rPr>
                <w:rFonts w:ascii="Cambria Math" w:eastAsia="Times New Roman" w:hAnsi="Cambria Math" w:cs="Times New Roman"/>
                <w:noProof/>
                <w:sz w:val="28"/>
                <w:szCs w:val="28"/>
                <w:lang w:val="kk-KZ" w:eastAsia="ru-RU"/>
              </w:rPr>
              <m:t>э</m:t>
            </m:r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1</m:t>
            </m:r>
          </m:sub>
        </m:sSub>
        <m:r>
          <w:rPr>
            <w:rFonts w:ascii="Cambria Math" w:eastAsia="Times New Roman" w:hAnsi="Times New Roman" w:cs="Times New Roman"/>
            <w:noProof/>
            <w:sz w:val="28"/>
            <w:szCs w:val="28"/>
            <w:lang w:val="kk-KZ" w:eastAsia="ru-RU"/>
          </w:rPr>
          <m:t>=</m:t>
        </m:r>
        <m:f>
          <m:fPr>
            <m:type m:val="skw"/>
            <m:ctrlPr>
              <w:rPr>
                <w:rFonts w:ascii="Cambria Math" w:eastAsia="Times New Roman" w:hAnsi="Times New Roman" w:cs="Times New Roman"/>
                <w:i/>
                <w:noProof/>
                <w:sz w:val="28"/>
                <w:szCs w:val="28"/>
                <w:lang w:val="kk-KZ" w:eastAsia="ru-RU"/>
              </w:rPr>
            </m:ctrlPr>
          </m:fPr>
          <m:num>
            <m:r>
              <w:rPr>
                <w:rFonts w:ascii="Cambria Math" w:eastAsia="Times New Roman" w:hAnsi="Times New Roman" w:cs="Times New Roman"/>
                <w:noProof/>
                <w:sz w:val="28"/>
                <w:szCs w:val="28"/>
                <w:lang w:val="kk-KZ" w:eastAsia="ru-RU"/>
              </w:rPr>
              <m:t>1</m:t>
            </m:r>
          </m:num>
          <m:den>
            <m:d>
              <m:dPr>
                <m:ctrlPr>
                  <w:rPr>
                    <w:rFonts w:ascii="Cambria Math" w:eastAsia="Times New Roman" w:hAnsi="Times New Roman" w:cs="Times New Roman"/>
                    <w:i/>
                    <w:noProof/>
                    <w:sz w:val="28"/>
                    <w:szCs w:val="28"/>
                    <w:lang w:val="kk-KZ" w:eastAsia="ru-RU"/>
                  </w:rPr>
                </m:ctrlPr>
              </m:dPr>
              <m:e>
                <m:r>
                  <w:rPr>
                    <w:rFonts w:ascii="Cambria Math" w:eastAsia="Times New Roman" w:hAnsi="Times New Roman" w:cs="Times New Roman"/>
                    <w:noProof/>
                    <w:sz w:val="28"/>
                    <w:szCs w:val="28"/>
                    <w:lang w:val="kk-KZ" w:eastAsia="ru-RU"/>
                  </w:rPr>
                  <m:t>2</m:t>
                </m:r>
                <m:r>
                  <w:rPr>
                    <w:rFonts w:ascii="Cambria Math" w:eastAsia="Times New Roman" w:hAnsi="Cambria Math" w:cs="Times New Roman"/>
                    <w:noProof/>
                    <w:sz w:val="28"/>
                    <w:szCs w:val="28"/>
                    <w:lang w:val="kk-KZ" w:eastAsia="ru-RU"/>
                  </w:rPr>
                  <m:t>∆Т</m:t>
                </m:r>
              </m:e>
            </m:d>
          </m:den>
        </m:f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 Сондықтан мод аралық дисперсияны игерү кезіндегі ақпараттық сыйымдылық келесі формула арқылы белгіленеді( баспалдақты көп модты ТОБЖ)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060B418" wp14:editId="28E9E3BF">
            <wp:extent cx="2256318" cy="616688"/>
            <wp:effectExtent l="19050" t="0" r="0" b="0"/>
            <wp:docPr id="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54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318" cy="616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 (6.4)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ал материалдық игеруде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 xml:space="preserve"> (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градиентті және бір модтық ТОБЖ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t>)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FD2E6DC" wp14:editId="48EF62E8">
            <wp:extent cx="2343911" cy="637953"/>
            <wp:effectExtent l="19050" t="0" r="0" b="0"/>
            <wp:docPr id="1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52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911" cy="637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(6.5)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Көп модты сатылы талшықты оптикалық байланыс желілерінде 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2B24815" wp14:editId="2C841363">
            <wp:extent cx="1086485" cy="247650"/>
            <wp:effectExtent l="0" t="0" r="0" b="0"/>
            <wp:docPr id="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6626" cy="247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, ал бір модтыда  1000 ТГц</w:t>
      </w:r>
      <m:oMath>
        <m:r>
          <w:rPr>
            <w:rFonts w:ascii="Cambria Math" w:eastAsia="Times New Roman" w:hAnsi="Cambria Math" w:cs="Times New Roman"/>
            <w:noProof/>
            <w:sz w:val="28"/>
            <w:szCs w:val="28"/>
            <w:lang w:val="kk-KZ" w:eastAsia="ru-RU"/>
          </w:rPr>
          <m:t>∙</m:t>
        </m:r>
      </m:oMath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км жетеді.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61E89AEC" wp14:editId="338C4765">
            <wp:extent cx="2609093" cy="2519177"/>
            <wp:effectExtent l="0" t="0" r="1270" b="0"/>
            <wp:docPr id="1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093" cy="251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6.2 -  Материалды дисперсияны анықтау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Есеп №2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Жарық диодты (спектральді сызықтың ені 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79BCA9B" wp14:editId="1EB858C7">
            <wp:extent cx="545662" cy="190500"/>
            <wp:effectExtent l="0" t="0" r="6985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662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) және лазерды диодты (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132942D" wp14:editId="2C6B3992">
            <wp:extent cx="408433" cy="124968"/>
            <wp:effectExtent l="0" t="0" r="0" b="8890"/>
            <wp:docPr id="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33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) көздері бар бір модты кварцтық талшықтың материалдық дисперсиясын және информациялық сыйымдылығын бағалау. 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88C6ADC" wp14:editId="2DEC4514">
            <wp:extent cx="1319952" cy="209550"/>
            <wp:effectExtent l="0" t="0" r="0" b="0"/>
            <wp:docPr id="2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1462" cy="21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талшықтың параметрлары; </w:t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C22CADC" wp14:editId="3DCD3569">
            <wp:extent cx="1701800" cy="247650"/>
            <wp:effectExtent l="0" t="0" r="0" b="0"/>
            <wp:docPr id="2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7981" cy="248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0A3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материалдың дисперсия коэффициенті. Өзекшенің максималды мүмкін диаметрін анықтау.</w:t>
      </w:r>
    </w:p>
    <w:p w:rsidR="00D60A32" w:rsidRPr="00D60A32" w:rsidRDefault="00D60A32" w:rsidP="00D60A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74461" w:rsidRPr="00D60A32" w:rsidRDefault="00F74461" w:rsidP="00D60A32">
      <w:pPr>
        <w:rPr>
          <w:lang w:val="kk-KZ"/>
        </w:rPr>
      </w:pPr>
      <w:bookmarkStart w:id="0" w:name="_GoBack"/>
      <w:bookmarkEnd w:id="0"/>
    </w:p>
    <w:sectPr w:rsidR="00F74461" w:rsidRPr="00D60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9E54BC"/>
    <w:rsid w:val="00C315F9"/>
    <w:rsid w:val="00D60A32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2016-09-12T12:08:00Z</dcterms:created>
  <dcterms:modified xsi:type="dcterms:W3CDTF">2016-09-12T12:08:00Z</dcterms:modified>
</cp:coreProperties>
</file>