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pacing w:after="80"/>
        <w:ind w:firstLine="709"/>
        <w:jc w:val="both"/>
        <w:rPr>
          <w:szCs w:val="24"/>
        </w:rPr>
      </w:pPr>
      <w:r>
        <w:rPr>
          <w:rFonts w:ascii="Times New Roman" w:hAnsi="Times New Roman" w:cs="Times New Roman" w:eastAsia="Times New Roman"/>
          <w:b/>
          <w:sz w:val="24"/>
          <w:szCs w:val="24"/>
        </w:rPr>
        <w:t>20 ДӘРІС</w:t>
      </w:r>
    </w:p>
    <w:p>
      <w:pPr>
        <w:pStyle w:val="aa"/>
        <w:ind w:firstLine="709"/>
        <w:jc w:val="both"/>
        <w:rPr>
          <w:rFonts w:ascii="Times New Roman" w:hAnsi="Times New Roman" w:cs="Times New Roman"/>
          <w:sz w:val="24"/>
          <w:szCs w:val="24"/>
        </w:rPr>
      </w:pPr>
      <w:r>
        <w:rPr>
          <w:rFonts w:ascii="Times New Roman" w:hAnsi="Times New Roman" w:cs="Times New Roman" w:eastAsia="Times New Roman"/>
          <w:sz w:val="24"/>
          <w:szCs w:val="24"/>
        </w:rPr>
        <w:t>Банкроттық ықтималдығын талдау</w:t>
      </w:r>
    </w:p>
    <w:p>
      <w:pPr>
        <w:ind w:firstLine="709"/>
        <w:jc w:val="both"/>
        <w:rPr>
          <w:szCs w:val="24"/>
        </w:rPr>
      </w:pPr>
      <w:r>
        <w:rPr>
          <w:rFonts w:ascii="Times New Roman" w:hAnsi="Times New Roman" w:cs="Times New Roman" w:eastAsia="Times New Roman"/>
          <w:b/>
          <w:sz w:val="24"/>
          <w:szCs w:val="24"/>
        </w:rPr>
        <w:t xml:space="preserve">Дәрістің мақсаты. </w:t>
      </w:r>
      <w:r>
        <w:rPr>
          <w:rFonts w:ascii="Times New Roman" w:hAnsi="Times New Roman" w:cs="Times New Roman" w:eastAsia="Times New Roman"/>
          <w:sz w:val="24"/>
          <w:szCs w:val="24"/>
        </w:rPr>
        <w:t>Қаржылық қиындық белгілерін анықтау, Альтманның классикалық Z-моделін дұрыс есептеу және оның қолданылу шектеуін түсіндіру.</w:t>
      </w:r>
    </w:p>
    <w:p>
      <w:pPr>
        <w:ind w:firstLine="709"/>
        <w:jc w:val="both"/>
        <w:rPr>
          <w:szCs w:val="24"/>
        </w:rPr>
      </w:pPr>
      <w:r>
        <w:rPr>
          <w:rFonts w:ascii="Times New Roman" w:hAnsi="Times New Roman" w:cs="Times New Roman" w:eastAsia="Times New Roman"/>
          <w:b/>
          <w:sz w:val="24"/>
          <w:szCs w:val="24"/>
        </w:rPr>
        <w:t xml:space="preserve">Қарастырылатын сұрақтар. </w:t>
      </w:r>
      <w:r>
        <w:rPr>
          <w:rFonts w:ascii="Times New Roman" w:hAnsi="Times New Roman" w:cs="Times New Roman" w:eastAsia="Times New Roman"/>
          <w:sz w:val="24"/>
          <w:szCs w:val="24"/>
        </w:rPr>
        <w:t>Қаржылық қиындық пен банкроттық; Талдау тәсілдері; Альтманның классикалық моделі; Түсіндірілген есептік мысал; Аймақтарды қалай түсіндіреміз; Шектеулер және қорытынды.</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1 Қаржылық қиындық пен банкроттық</w:t>
      </w:r>
    </w:p>
    <w:p>
      <w:pPr>
        <w:ind w:firstLine="709"/>
        <w:jc w:val="both"/>
        <w:rPr>
          <w:szCs w:val="24"/>
        </w:rPr>
      </w:pPr>
      <w:r>
        <w:rPr>
          <w:rFonts w:ascii="Times New Roman" w:hAnsi="Times New Roman" w:cs="Times New Roman" w:eastAsia="Times New Roman"/>
          <w:sz w:val="24"/>
          <w:szCs w:val="24"/>
        </w:rPr>
        <w:t>Қаржылық қиындық ұйымның ақша, пайда және қаржыландыру мүмкіндігінің әлсіреуімен көрінуі мүмкін. Мерзімі өткен қарыз, ұзақ уақыт теріс операциялық ақша ағыны, тұрақты залал, ковенант бұзылуы және қаржыландыру көзінің жабылуы қосымша зерттеуді талап етеді. Бір белгі жеке өзі толық қорытынды бермейді.</w:t>
      </w:r>
    </w:p>
    <w:p>
      <w:pPr>
        <w:ind w:firstLine="709"/>
        <w:jc w:val="both"/>
        <w:rPr>
          <w:szCs w:val="24"/>
        </w:rPr>
      </w:pPr>
      <w:r>
        <w:rPr>
          <w:rFonts w:ascii="Times New Roman" w:hAnsi="Times New Roman" w:cs="Times New Roman" w:eastAsia="Times New Roman"/>
          <w:sz w:val="24"/>
          <w:szCs w:val="24"/>
        </w:rPr>
        <w:t>Банкроттықтың заңдық мәртебесі қолданыстағы заңнамадағы рәсіммен анықталады. Қаржылық модель сол мәртебені жарияламайды және сот шешімін алмастырмайды. Оның міндеті — қолда бар дерек негізінде қаржылық күйзеліс тәуекелін алдын ала бағалауға көмектесу.</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2 Талдау тәсілдері</w:t>
      </w:r>
    </w:p>
    <w:p>
      <w:pPr>
        <w:ind w:firstLine="709"/>
        <w:jc w:val="both"/>
        <w:rPr>
          <w:szCs w:val="24"/>
        </w:rPr>
      </w:pPr>
      <w:r>
        <w:rPr>
          <w:rFonts w:ascii="Times New Roman" w:hAnsi="Times New Roman" w:cs="Times New Roman" w:eastAsia="Times New Roman"/>
          <w:sz w:val="24"/>
          <w:szCs w:val="24"/>
        </w:rPr>
        <w:t>Сапалық талдау тапсырыстың жоғалуы, басқару мәселесі, жеткізушіге тәуелділік және нарық өзгерісін зерттейді. Коэффициенттік талдау өтімділік, борыш, табыстылық пен ақша ағынын қарайды. Болжамдық талдау болашақ түсім мен төлем сценарийлерін есептейді. Көпфакторлы модель бірнеше белгіні бір есептік көрсеткішке біріктіреді.</w:t>
      </w:r>
    </w:p>
    <w:p>
      <w:pPr>
        <w:ind w:firstLine="709"/>
        <w:jc w:val="both"/>
        <w:rPr>
          <w:szCs w:val="24"/>
        </w:rPr>
      </w:pPr>
      <w:r>
        <w:rPr>
          <w:rFonts w:ascii="Times New Roman" w:hAnsi="Times New Roman" w:cs="Times New Roman" w:eastAsia="Times New Roman"/>
          <w:sz w:val="24"/>
          <w:szCs w:val="24"/>
        </w:rPr>
        <w:t>Бір модельге сүйенудің орнына осы тәсілдер салыстырылады. Мысалы, балансқа негізделген көрсеткіш қолайлы болғанымен, келесі айда ірі қарызды қайта қаржыландыру мүмкін болмаса, нақты төлем тәуекелі жоғары болуы ықтимал.</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3 Альтманның классикалық моделі</w:t>
      </w:r>
    </w:p>
    <w:p>
      <w:pPr>
        <w:ind w:firstLine="709"/>
        <w:jc w:val="both"/>
        <w:rPr>
          <w:szCs w:val="24"/>
        </w:rPr>
      </w:pPr>
      <w:r>
        <w:rPr>
          <w:rFonts w:ascii="Times New Roman" w:hAnsi="Times New Roman" w:cs="Times New Roman" w:eastAsia="Times New Roman"/>
          <w:sz w:val="24"/>
          <w:szCs w:val="24"/>
        </w:rPr>
        <w:t>Э. Альтманның 1968 жылғы жұмысы көптік дискриминанттық талдау арқылы банкроттықты жіктеуге арналған модель ұсынды. Төменде биржада бағаланатын өндірістік компанияларға арналған классикалық модельдің кең қолданылатын дөңгелектелген коэффициенттері берілген. Басқа Z-нұсқалардың коэффициенттері мен шектері бөлек; оларды араластыруға болмайды. [Н17]</w:t>
      </w:r>
    </w:p>
    <w:p>
      <w:pPr>
        <w:ind w:firstLine="709"/>
        <w:jc w:val="both"/>
        <w:rPr>
          <w:szCs w:val="24"/>
        </w:rPr>
      </w:pPr>
      <m:oMath>
        <m:r>
          <m:rPr>
            <m:nor/>
          </m:rPr>
          <w:rPr>
            <w:rFonts w:ascii="Times New Roman" w:hAnsi="Times New Roman"/>
            <w:sz w:val="22"/>
          </w:rPr>
          <m:t xml:space="preserve">Z = 1,2 X₁ + 1,4 X₂ + 3,3 X₃ + 0,6 X₄ + 1,0 X₅</m:t>
        </m:r>
      </m:oMath>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65" w:type="dxa"/>
          <w:bottom w:w="65" w:type="dxa"/>
          <w:left w:w="85" w:type="dxa"/>
          <w:right w:w="85" w:type="dxa"/>
        </w:tblCellMar>
      </w:tblPr>
      <w:tblGrid>
        <w:gridCol w:w="3030"/>
        <w:gridCol w:w="3219"/>
        <w:gridCol w:w="3219"/>
      </w:tblGrid>
      <w:tr>
        <w:trPr>
          <w:tblHeader/>
          <w:cantSplit/>
        </w:trPr>
        <w:tc>
          <w:tcPr>
            <w:tcW w:type="dxa" w:w="3030"/>
            <w:vAlign w:val="center"/>
            <w:shd w:fill="E9EEF4"/>
          </w:tcPr>
          <w:p>
            <w:pPr>
              <w:spacing w:line="252" w:lineRule="auto" w:after="20"/>
            </w:pPr>
            <w:r>
              <w:rPr>
                <w:rFonts w:ascii="Times New Roman" w:hAnsi="Times New Roman" w:cs="Times New Roman" w:eastAsia="Times New Roman"/>
                <w:b/>
                <w:sz w:val="24"/>
                <w:szCs w:val="24"/>
              </w:rPr>
              <w:t>Айнымалы</w:t>
            </w:r>
          </w:p>
        </w:tc>
        <w:tc>
          <w:tcPr>
            <w:tcW w:type="dxa" w:w="3219"/>
            <w:vAlign w:val="center"/>
            <w:shd w:fill="E9EEF4"/>
          </w:tcPr>
          <w:p>
            <w:pPr>
              <w:spacing w:line="252" w:lineRule="auto" w:after="20"/>
            </w:pPr>
            <w:r>
              <w:rPr>
                <w:rFonts w:ascii="Times New Roman" w:hAnsi="Times New Roman" w:cs="Times New Roman" w:eastAsia="Times New Roman"/>
                <w:b/>
                <w:sz w:val="24"/>
                <w:szCs w:val="24"/>
              </w:rPr>
              <w:t>Алым</w:t>
            </w:r>
          </w:p>
        </w:tc>
        <w:tc>
          <w:tcPr>
            <w:tcW w:type="dxa" w:w="3219"/>
            <w:vAlign w:val="center"/>
            <w:shd w:fill="E9EEF4"/>
          </w:tcPr>
          <w:p>
            <w:pPr>
              <w:spacing w:line="252" w:lineRule="auto" w:after="20"/>
            </w:pPr>
            <w:r>
              <w:rPr>
                <w:rFonts w:ascii="Times New Roman" w:hAnsi="Times New Roman" w:cs="Times New Roman" w:eastAsia="Times New Roman"/>
                <w:b/>
                <w:sz w:val="24"/>
                <w:szCs w:val="24"/>
              </w:rPr>
              <w:t>Бөлім</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X₁</w:t>
            </w:r>
          </w:p>
        </w:tc>
        <w:tc>
          <w:tcPr>
            <w:tcW w:type="dxa" w:w="3219"/>
            <w:vAlign w:val="center"/>
          </w:tcPr>
          <w:p>
            <w:pPr>
              <w:spacing w:line="252" w:lineRule="auto" w:after="20"/>
            </w:pPr>
            <w:r>
              <w:rPr>
                <w:rFonts w:ascii="Times New Roman" w:hAnsi="Times New Roman" w:cs="Times New Roman" w:eastAsia="Times New Roman"/>
                <w:sz w:val="24"/>
                <w:szCs w:val="24"/>
              </w:rPr>
              <w:t>Таза айналым капиталы</w:t>
            </w:r>
          </w:p>
        </w:tc>
        <w:tc>
          <w:tcPr>
            <w:tcW w:type="dxa" w:w="3219"/>
            <w:vAlign w:val="center"/>
          </w:tcPr>
          <w:p>
            <w:pPr>
              <w:spacing w:line="252" w:lineRule="auto" w:after="20"/>
            </w:pPr>
            <w:r>
              <w:rPr>
                <w:rFonts w:ascii="Times New Roman" w:hAnsi="Times New Roman" w:cs="Times New Roman" w:eastAsia="Times New Roman"/>
                <w:sz w:val="24"/>
                <w:szCs w:val="24"/>
              </w:rPr>
              <w:t>Барлық активтер</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X₂</w:t>
            </w:r>
          </w:p>
        </w:tc>
        <w:tc>
          <w:tcPr>
            <w:tcW w:type="dxa" w:w="3219"/>
            <w:vAlign w:val="center"/>
          </w:tcPr>
          <w:p>
            <w:pPr>
              <w:spacing w:line="252" w:lineRule="auto" w:after="20"/>
            </w:pPr>
            <w:r>
              <w:rPr>
                <w:rFonts w:ascii="Times New Roman" w:hAnsi="Times New Roman" w:cs="Times New Roman" w:eastAsia="Times New Roman"/>
                <w:sz w:val="24"/>
                <w:szCs w:val="24"/>
              </w:rPr>
              <w:t>Жинақталған бөлінбеген пайда</w:t>
            </w:r>
          </w:p>
        </w:tc>
        <w:tc>
          <w:tcPr>
            <w:tcW w:type="dxa" w:w="3219"/>
            <w:vAlign w:val="center"/>
          </w:tcPr>
          <w:p>
            <w:pPr>
              <w:spacing w:line="252" w:lineRule="auto" w:after="20"/>
            </w:pPr>
            <w:r>
              <w:rPr>
                <w:rFonts w:ascii="Times New Roman" w:hAnsi="Times New Roman" w:cs="Times New Roman" w:eastAsia="Times New Roman"/>
                <w:sz w:val="24"/>
                <w:szCs w:val="24"/>
              </w:rPr>
              <w:t>Барлық активтер</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X₃</w:t>
            </w:r>
          </w:p>
        </w:tc>
        <w:tc>
          <w:tcPr>
            <w:tcW w:type="dxa" w:w="3219"/>
            <w:vAlign w:val="center"/>
          </w:tcPr>
          <w:p>
            <w:pPr>
              <w:spacing w:line="252" w:lineRule="auto" w:after="20"/>
            </w:pPr>
            <w:r>
              <w:rPr>
                <w:rFonts w:ascii="Times New Roman" w:hAnsi="Times New Roman" w:cs="Times New Roman" w:eastAsia="Times New Roman"/>
                <w:sz w:val="24"/>
                <w:szCs w:val="24"/>
              </w:rPr>
              <w:t>EBIT</w:t>
            </w:r>
          </w:p>
        </w:tc>
        <w:tc>
          <w:tcPr>
            <w:tcW w:type="dxa" w:w="3219"/>
            <w:vAlign w:val="center"/>
          </w:tcPr>
          <w:p>
            <w:pPr>
              <w:spacing w:line="252" w:lineRule="auto" w:after="20"/>
            </w:pPr>
            <w:r>
              <w:rPr>
                <w:rFonts w:ascii="Times New Roman" w:hAnsi="Times New Roman" w:cs="Times New Roman" w:eastAsia="Times New Roman"/>
                <w:sz w:val="24"/>
                <w:szCs w:val="24"/>
              </w:rPr>
              <w:t>Барлық активтер</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X₄</w:t>
            </w:r>
          </w:p>
        </w:tc>
        <w:tc>
          <w:tcPr>
            <w:tcW w:type="dxa" w:w="3219"/>
            <w:vAlign w:val="center"/>
          </w:tcPr>
          <w:p>
            <w:pPr>
              <w:spacing w:line="252" w:lineRule="auto" w:after="20"/>
            </w:pPr>
            <w:r>
              <w:rPr>
                <w:rFonts w:ascii="Times New Roman" w:hAnsi="Times New Roman" w:cs="Times New Roman" w:eastAsia="Times New Roman"/>
                <w:sz w:val="24"/>
                <w:szCs w:val="24"/>
              </w:rPr>
              <w:t>Меншікті капиталдың нарықтық құны</w:t>
            </w:r>
          </w:p>
        </w:tc>
        <w:tc>
          <w:tcPr>
            <w:tcW w:type="dxa" w:w="3219"/>
            <w:vAlign w:val="center"/>
          </w:tcPr>
          <w:p>
            <w:pPr>
              <w:spacing w:line="252" w:lineRule="auto" w:after="20"/>
            </w:pPr>
            <w:r>
              <w:rPr>
                <w:rFonts w:ascii="Times New Roman" w:hAnsi="Times New Roman" w:cs="Times New Roman" w:eastAsia="Times New Roman"/>
                <w:sz w:val="24"/>
                <w:szCs w:val="24"/>
              </w:rPr>
              <w:t>Барлық міндеттемелердің баланстық құны</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X₅</w:t>
            </w:r>
          </w:p>
        </w:tc>
        <w:tc>
          <w:tcPr>
            <w:tcW w:type="dxa" w:w="3219"/>
            <w:vAlign w:val="center"/>
          </w:tcPr>
          <w:p>
            <w:pPr>
              <w:spacing w:line="252" w:lineRule="auto" w:after="20"/>
            </w:pPr>
            <w:r>
              <w:rPr>
                <w:rFonts w:ascii="Times New Roman" w:hAnsi="Times New Roman" w:cs="Times New Roman" w:eastAsia="Times New Roman"/>
                <w:sz w:val="24"/>
                <w:szCs w:val="24"/>
              </w:rPr>
              <w:t>Сату кірісі</w:t>
            </w:r>
          </w:p>
        </w:tc>
        <w:tc>
          <w:tcPr>
            <w:tcW w:type="dxa" w:w="3219"/>
            <w:vAlign w:val="center"/>
          </w:tcPr>
          <w:p>
            <w:pPr>
              <w:spacing w:line="252" w:lineRule="auto" w:after="20"/>
            </w:pPr>
            <w:r>
              <w:rPr>
                <w:rFonts w:ascii="Times New Roman" w:hAnsi="Times New Roman" w:cs="Times New Roman" w:eastAsia="Times New Roman"/>
                <w:sz w:val="24"/>
                <w:szCs w:val="24"/>
              </w:rPr>
              <w:t>Барлық активтер</w:t>
            </w:r>
          </w:p>
        </w:tc>
      </w:tr>
    </w:tbl>
    <w:p>
      <w:pPr>
        <w:ind w:firstLine="709"/>
        <w:jc w:val="both"/>
        <w:rPr>
          <w:szCs w:val="24"/>
        </w:rPr>
      </w:pPr>
    </w:p>
    <w:p>
      <w:pPr>
        <w:ind w:firstLine="709"/>
        <w:jc w:val="both"/>
        <w:rPr>
          <w:szCs w:val="24"/>
        </w:rPr>
      </w:pPr>
      <w:r>
        <w:rPr>
          <w:rFonts w:ascii="Times New Roman" w:hAnsi="Times New Roman" w:cs="Times New Roman" w:eastAsia="Times New Roman"/>
          <w:sz w:val="24"/>
          <w:szCs w:val="24"/>
        </w:rPr>
        <w:t>Осы жазылуда X шамалары ондық қатынас түрінде алынады: 29,6% орнына 0,296 енгізіледі. Алғашқы жарияланымдағы пайыздық масштабтағы жазылуды қазіргі қатынастық нұсқамен шатастырмау қажет. X₂ — ағымдағы таза пайда емес, жинақталған бөлінбеген пайда. X₄ алымында осы модельде баланстық емес, нарықтық капитал тұрады.</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4 Түсіндірілген есептік мысал</w:t>
      </w:r>
    </w:p>
    <w:p>
      <w:pPr>
        <w:ind w:firstLine="709"/>
        <w:jc w:val="both"/>
        <w:rPr>
          <w:szCs w:val="24"/>
        </w:rPr>
      </w:pPr>
      <w:r>
        <w:rPr>
          <w:rFonts w:ascii="Times New Roman" w:hAnsi="Times New Roman" w:cs="Times New Roman" w:eastAsia="Times New Roman"/>
          <w:sz w:val="24"/>
          <w:szCs w:val="24"/>
        </w:rPr>
        <w:t>Алдыңғы оқу кәсіпорнын акциялары нарықта бағаланатын өндірістік компания деп шартты түрде қабылдайық. Барлық актив 2 500, таза айналым капиталы 740, бөлінбеген пайда 530, EBIT 500, барлық міндеттеме 1 150, сату 3 000 мың теңге. 100 мың акцияның әрқайсысы 35 теңгеден бағаланса, нарықтық капитал 3 500 мың теңге.</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65" w:type="dxa"/>
          <w:bottom w:w="65" w:type="dxa"/>
          <w:left w:w="85" w:type="dxa"/>
          <w:right w:w="85" w:type="dxa"/>
        </w:tblCellMar>
      </w:tblPr>
      <w:tblGrid>
        <w:gridCol w:w="3030"/>
        <w:gridCol w:w="3219"/>
        <w:gridCol w:w="3219"/>
      </w:tblGrid>
      <w:tr>
        <w:trPr>
          <w:tblHeader/>
          <w:cantSplit/>
        </w:trPr>
        <w:tc>
          <w:tcPr>
            <w:tcW w:type="dxa" w:w="3030"/>
            <w:vAlign w:val="center"/>
            <w:shd w:fill="E9EEF4"/>
          </w:tcPr>
          <w:p>
            <w:pPr>
              <w:spacing w:line="252" w:lineRule="auto" w:after="20"/>
            </w:pPr>
            <w:r>
              <w:rPr>
                <w:rFonts w:ascii="Times New Roman" w:hAnsi="Times New Roman" w:cs="Times New Roman" w:eastAsia="Times New Roman"/>
                <w:b/>
                <w:sz w:val="24"/>
                <w:szCs w:val="24"/>
              </w:rPr>
              <w:t>Айнымалы</w:t>
            </w:r>
          </w:p>
        </w:tc>
        <w:tc>
          <w:tcPr>
            <w:tcW w:type="dxa" w:w="3219"/>
            <w:vAlign w:val="center"/>
            <w:shd w:fill="E9EEF4"/>
          </w:tcPr>
          <w:p>
            <w:pPr>
              <w:spacing w:line="252" w:lineRule="auto" w:after="20"/>
            </w:pPr>
            <w:r>
              <w:rPr>
                <w:rFonts w:ascii="Times New Roman" w:hAnsi="Times New Roman" w:cs="Times New Roman" w:eastAsia="Times New Roman"/>
                <w:b/>
                <w:sz w:val="24"/>
                <w:szCs w:val="24"/>
              </w:rPr>
              <w:t>Есептеу</w:t>
            </w:r>
          </w:p>
        </w:tc>
        <w:tc>
          <w:tcPr>
            <w:tcW w:type="dxa" w:w="3219"/>
            <w:vAlign w:val="center"/>
            <w:shd w:fill="E9EEF4"/>
          </w:tcPr>
          <w:p>
            <w:pPr>
              <w:spacing w:line="252" w:lineRule="auto" w:after="20"/>
            </w:pPr>
            <w:r>
              <w:rPr>
                <w:rFonts w:ascii="Times New Roman" w:hAnsi="Times New Roman" w:cs="Times New Roman" w:eastAsia="Times New Roman"/>
                <w:b/>
                <w:sz w:val="24"/>
                <w:szCs w:val="24"/>
              </w:rPr>
              <w:t>Мәні</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X₁</w:t>
            </w:r>
          </w:p>
        </w:tc>
        <w:tc>
          <w:tcPr>
            <w:tcW w:type="dxa" w:w="3219"/>
            <w:vAlign w:val="center"/>
          </w:tcPr>
          <w:p>
            <w:pPr>
              <w:spacing w:line="252" w:lineRule="auto" w:after="20"/>
              <w:jc w:val="center"/>
            </w:pPr>
            <w:r>
              <w:rPr>
                <w:rFonts w:ascii="Times New Roman" w:hAnsi="Times New Roman" w:cs="Times New Roman" w:eastAsia="Times New Roman"/>
                <w:sz w:val="24"/>
                <w:szCs w:val="24"/>
              </w:rPr>
              <w:t>740 / 2 500</w:t>
            </w:r>
          </w:p>
        </w:tc>
        <w:tc>
          <w:tcPr>
            <w:tcW w:type="dxa" w:w="3219"/>
            <w:vAlign w:val="center"/>
          </w:tcPr>
          <w:p>
            <w:pPr>
              <w:spacing w:line="252" w:lineRule="auto" w:after="20"/>
              <w:jc w:val="center"/>
            </w:pPr>
            <w:r>
              <w:rPr>
                <w:rFonts w:ascii="Times New Roman" w:hAnsi="Times New Roman" w:cs="Times New Roman" w:eastAsia="Times New Roman"/>
                <w:sz w:val="24"/>
                <w:szCs w:val="24"/>
              </w:rPr>
              <w:t>0,296</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X₂</w:t>
            </w:r>
          </w:p>
        </w:tc>
        <w:tc>
          <w:tcPr>
            <w:tcW w:type="dxa" w:w="3219"/>
            <w:vAlign w:val="center"/>
          </w:tcPr>
          <w:p>
            <w:pPr>
              <w:spacing w:line="252" w:lineRule="auto" w:after="20"/>
              <w:jc w:val="center"/>
            </w:pPr>
            <w:r>
              <w:rPr>
                <w:rFonts w:ascii="Times New Roman" w:hAnsi="Times New Roman" w:cs="Times New Roman" w:eastAsia="Times New Roman"/>
                <w:sz w:val="24"/>
                <w:szCs w:val="24"/>
              </w:rPr>
              <w:t>530 / 2 500</w:t>
            </w:r>
          </w:p>
        </w:tc>
        <w:tc>
          <w:tcPr>
            <w:tcW w:type="dxa" w:w="3219"/>
            <w:vAlign w:val="center"/>
          </w:tcPr>
          <w:p>
            <w:pPr>
              <w:spacing w:line="252" w:lineRule="auto" w:after="20"/>
              <w:jc w:val="center"/>
            </w:pPr>
            <w:r>
              <w:rPr>
                <w:rFonts w:ascii="Times New Roman" w:hAnsi="Times New Roman" w:cs="Times New Roman" w:eastAsia="Times New Roman"/>
                <w:sz w:val="24"/>
                <w:szCs w:val="24"/>
              </w:rPr>
              <w:t>0,212</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X₃</w:t>
            </w:r>
          </w:p>
        </w:tc>
        <w:tc>
          <w:tcPr>
            <w:tcW w:type="dxa" w:w="3219"/>
            <w:vAlign w:val="center"/>
          </w:tcPr>
          <w:p>
            <w:pPr>
              <w:spacing w:line="252" w:lineRule="auto" w:after="20"/>
              <w:jc w:val="center"/>
            </w:pPr>
            <w:r>
              <w:rPr>
                <w:rFonts w:ascii="Times New Roman" w:hAnsi="Times New Roman" w:cs="Times New Roman" w:eastAsia="Times New Roman"/>
                <w:sz w:val="24"/>
                <w:szCs w:val="24"/>
              </w:rPr>
              <w:t>500 / 2 500</w:t>
            </w:r>
          </w:p>
        </w:tc>
        <w:tc>
          <w:tcPr>
            <w:tcW w:type="dxa" w:w="3219"/>
            <w:vAlign w:val="center"/>
          </w:tcPr>
          <w:p>
            <w:pPr>
              <w:spacing w:line="252" w:lineRule="auto" w:after="20"/>
              <w:jc w:val="center"/>
            </w:pPr>
            <w:r>
              <w:rPr>
                <w:rFonts w:ascii="Times New Roman" w:hAnsi="Times New Roman" w:cs="Times New Roman" w:eastAsia="Times New Roman"/>
                <w:sz w:val="24"/>
                <w:szCs w:val="24"/>
              </w:rPr>
              <w:t>0,200</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X₄</w:t>
            </w:r>
          </w:p>
        </w:tc>
        <w:tc>
          <w:tcPr>
            <w:tcW w:type="dxa" w:w="3219"/>
            <w:vAlign w:val="center"/>
          </w:tcPr>
          <w:p>
            <w:pPr>
              <w:spacing w:line="252" w:lineRule="auto" w:after="20"/>
              <w:jc w:val="center"/>
            </w:pPr>
            <w:r>
              <w:rPr>
                <w:rFonts w:ascii="Times New Roman" w:hAnsi="Times New Roman" w:cs="Times New Roman" w:eastAsia="Times New Roman"/>
                <w:sz w:val="24"/>
                <w:szCs w:val="24"/>
              </w:rPr>
              <w:t>3 500 / 1 150</w:t>
            </w:r>
          </w:p>
        </w:tc>
        <w:tc>
          <w:tcPr>
            <w:tcW w:type="dxa" w:w="3219"/>
            <w:vAlign w:val="center"/>
          </w:tcPr>
          <w:p>
            <w:pPr>
              <w:spacing w:line="252" w:lineRule="auto" w:after="20"/>
              <w:jc w:val="center"/>
            </w:pPr>
            <w:r>
              <w:rPr>
                <w:rFonts w:ascii="Times New Roman" w:hAnsi="Times New Roman" w:cs="Times New Roman" w:eastAsia="Times New Roman"/>
                <w:sz w:val="24"/>
                <w:szCs w:val="24"/>
              </w:rPr>
              <w:t>3,04348</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X₅</w:t>
            </w:r>
          </w:p>
        </w:tc>
        <w:tc>
          <w:tcPr>
            <w:tcW w:type="dxa" w:w="3219"/>
            <w:vAlign w:val="center"/>
          </w:tcPr>
          <w:p>
            <w:pPr>
              <w:spacing w:line="252" w:lineRule="auto" w:after="20"/>
              <w:jc w:val="center"/>
            </w:pPr>
            <w:r>
              <w:rPr>
                <w:rFonts w:ascii="Times New Roman" w:hAnsi="Times New Roman" w:cs="Times New Roman" w:eastAsia="Times New Roman"/>
                <w:sz w:val="24"/>
                <w:szCs w:val="24"/>
              </w:rPr>
              <w:t>3 000 / 2 500</w:t>
            </w:r>
          </w:p>
        </w:tc>
        <w:tc>
          <w:tcPr>
            <w:tcW w:type="dxa" w:w="3219"/>
            <w:vAlign w:val="center"/>
          </w:tcPr>
          <w:p>
            <w:pPr>
              <w:spacing w:line="252" w:lineRule="auto" w:after="20"/>
              <w:jc w:val="center"/>
            </w:pPr>
            <w:r>
              <w:rPr>
                <w:rFonts w:ascii="Times New Roman" w:hAnsi="Times New Roman" w:cs="Times New Roman" w:eastAsia="Times New Roman"/>
                <w:sz w:val="24"/>
                <w:szCs w:val="24"/>
              </w:rPr>
              <w:t>1,200</w:t>
            </w:r>
          </w:p>
        </w:tc>
      </w:tr>
    </w:tbl>
    <w:p>
      <w:pPr>
        <w:ind w:firstLine="709"/>
        <w:jc w:val="both"/>
        <w:rPr>
          <w:szCs w:val="24"/>
        </w:rPr>
      </w:pPr>
    </w:p>
    <w:p>
      <w:pPr>
        <w:ind w:firstLine="709"/>
        <w:jc w:val="both"/>
        <w:rPr>
          <w:szCs w:val="24"/>
        </w:rPr>
      </w:pPr>
      <w:r>
        <w:rPr>
          <w:rFonts w:ascii="Times New Roman" w:hAnsi="Times New Roman" w:cs="Times New Roman" w:eastAsia="Times New Roman"/>
          <w:sz w:val="24"/>
          <w:szCs w:val="24"/>
        </w:rPr>
        <w:t>Дөңгелектемей есептегенде Z шамамен 4,34 болады. Аралық мәндерді соңына дейін сақтап, тек соңғы нәтижені дөңгелектеу орынды. Осы мысалда EBIT 420 салыққа дейінгі пайда мен 80 пайыз шығысының қосындысы ретінде алынған.</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5 Аймақтарды қалай түсіндіреміз</w:t>
      </w:r>
    </w:p>
    <w:p>
      <w:pPr>
        <w:ind w:firstLine="709"/>
        <w:jc w:val="both"/>
        <w:rPr>
          <w:szCs w:val="24"/>
        </w:rPr>
      </w:pPr>
      <w:r>
        <w:rPr>
          <w:rFonts w:ascii="Times New Roman" w:hAnsi="Times New Roman" w:cs="Times New Roman" w:eastAsia="Times New Roman"/>
          <w:sz w:val="24"/>
          <w:szCs w:val="24"/>
        </w:rPr>
        <w:t>Классикалық нұсқаның жиі қолданылатын бағдарлары: Z 1,81-ден төмен болса — қаржылық күйзеліс аймағы; 1,81 мен 2,99 аралығы — белгісіздік аймағы; 2,99-дан жоғары болса — салыстырмалы қолайлы аймақ. Шекке дәл келген мән де механикалық түпкі қорытындыға негіз болмайды. Бұлар Қазақстан заңнамасының міндетті шектері емес.</w:t>
      </w:r>
    </w:p>
    <w:p>
      <w:pPr>
        <w:ind w:firstLine="709"/>
        <w:jc w:val="both"/>
        <w:rPr>
          <w:szCs w:val="24"/>
        </w:rPr>
      </w:pPr>
      <w:r>
        <w:rPr>
          <w:rFonts w:ascii="Times New Roman" w:hAnsi="Times New Roman" w:cs="Times New Roman" w:eastAsia="Times New Roman"/>
          <w:sz w:val="24"/>
          <w:szCs w:val="24"/>
        </w:rPr>
        <w:t>4,34 нәтижесі осы модель мен берілген жорамалдар бойынша қолайлы аймаққа сәйкес келеді. Ол банкроттық ықтималдығы 0% дегенді де, нақты пайыздық ықтималдықты да білдірмейді. Z — жіктеу көрсеткіші; оны тікелей пайызға айналдыруға болмайды.</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6 Шектеулер және қорытынды</w:t>
      </w:r>
    </w:p>
    <w:p>
      <w:pPr>
        <w:ind w:firstLine="709"/>
        <w:jc w:val="both"/>
        <w:rPr>
          <w:szCs w:val="24"/>
        </w:rPr>
      </w:pPr>
      <w:r>
        <w:rPr>
          <w:rFonts w:ascii="Times New Roman" w:hAnsi="Times New Roman" w:cs="Times New Roman" w:eastAsia="Times New Roman"/>
          <w:sz w:val="24"/>
          <w:szCs w:val="24"/>
        </w:rPr>
        <w:t>Бастапқы модель белгілі уақыт пен іріктемедегі өндірістік компаниялардан жасалған. Қазақстандағы ұйымға, банкке, стартапқа немесе биржада бағаланбайтын кәсіпорынға оны тексерусіз қолдану сенімділікті шектейді. Нарық бағасының құбылуы X₄-ке әсер етеді; есеп саясаты мен дерек сапасы басқа айнымалыларды да өзгертеді.</w:t>
      </w:r>
    </w:p>
    <w:p>
      <w:pPr>
        <w:ind w:firstLine="709"/>
        <w:jc w:val="both"/>
        <w:rPr>
          <w:szCs w:val="24"/>
        </w:rPr>
      </w:pPr>
      <w:r>
        <w:rPr>
          <w:rFonts w:ascii="Times New Roman" w:hAnsi="Times New Roman" w:cs="Times New Roman" w:eastAsia="Times New Roman"/>
          <w:sz w:val="24"/>
          <w:szCs w:val="24"/>
        </w:rPr>
        <w:t>Соңғы тұжырымда Z мәні, қолданылған нұсқа, салалық сәйкестік, дерек күні және басқа қаржылық белгілер бірге беріледі. Қолайсыз нәтиже анықталса, ақша болжамы, қарыз өтеу кестесі және қалпына келтіру шаралары талданады. Модель тәуекелді іздеу құралы ретінде пайдалы, ал жеке үкім ретінде шектеулі.</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Жиі кездесетін қателер</w:t>
      </w:r>
    </w:p>
    <w:p>
      <w:pPr>
        <w:pStyle w:val="a0"/>
        <w:tabs>
          <w:tab w:val="left" w:pos="1134"/>
        </w:tabs>
        <w:ind w:firstLine="491"/>
        <w:jc w:val="both"/>
        <w:rPr>
          <w:szCs w:val="24"/>
        </w:rPr>
      </w:pPr>
      <w:r>
        <w:rPr>
          <w:rFonts w:ascii="Times New Roman" w:hAnsi="Times New Roman" w:cs="Times New Roman" w:eastAsia="Times New Roman"/>
          <w:sz w:val="24"/>
          <w:szCs w:val="24"/>
        </w:rPr>
        <w:t>Z мәнін банкроттықтың пайыздық ықтималдығы деп көрсету.</w:t>
      </w:r>
    </w:p>
    <w:p>
      <w:pPr>
        <w:pStyle w:val="a0"/>
        <w:tabs>
          <w:tab w:val="left" w:pos="1134"/>
        </w:tabs>
        <w:ind w:firstLine="491"/>
        <w:jc w:val="both"/>
        <w:rPr>
          <w:szCs w:val="24"/>
        </w:rPr>
      </w:pPr>
      <w:r>
        <w:rPr>
          <w:rFonts w:ascii="Times New Roman" w:hAnsi="Times New Roman" w:cs="Times New Roman" w:eastAsia="Times New Roman"/>
          <w:sz w:val="24"/>
          <w:szCs w:val="24"/>
        </w:rPr>
        <w:t>Әртүрлі Z-нұсқалардың коэффициенті мен шегін араластыру.</w:t>
      </w:r>
    </w:p>
    <w:p>
      <w:pPr>
        <w:pStyle w:val="a0"/>
        <w:tabs>
          <w:tab w:val="left" w:pos="1134"/>
        </w:tabs>
        <w:ind w:firstLine="491"/>
        <w:jc w:val="both"/>
        <w:rPr>
          <w:szCs w:val="24"/>
        </w:rPr>
      </w:pPr>
      <w:r>
        <w:rPr>
          <w:rFonts w:ascii="Times New Roman" w:hAnsi="Times New Roman" w:cs="Times New Roman" w:eastAsia="Times New Roman"/>
          <w:sz w:val="24"/>
          <w:szCs w:val="24"/>
        </w:rPr>
        <w:t>X₂-ге ағымдағы таза пайданы қою.</w:t>
      </w:r>
    </w:p>
    <w:p>
      <w:pPr>
        <w:pStyle w:val="a0"/>
        <w:tabs>
          <w:tab w:val="left" w:pos="1134"/>
        </w:tabs>
        <w:ind w:firstLine="491"/>
        <w:jc w:val="both"/>
        <w:rPr>
          <w:szCs w:val="24"/>
        </w:rPr>
      </w:pPr>
      <w:r>
        <w:rPr>
          <w:rFonts w:ascii="Times New Roman" w:hAnsi="Times New Roman" w:cs="Times New Roman" w:eastAsia="Times New Roman"/>
          <w:sz w:val="24"/>
          <w:szCs w:val="24"/>
        </w:rPr>
        <w:t>Классикалық X₄-ке нарықтық құн орнына баланстық капитал енгізу.</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Бақылау сұрақтары</w:t>
      </w:r>
    </w:p>
    <w:p>
      <w:pPr>
        <w:spacing w:after="80"/>
        <w:ind w:left="170" w:firstLine="709"/>
        <w:jc w:val="both"/>
        <w:rPr>
          <w:szCs w:val="24"/>
        </w:rPr>
      </w:pPr>
      <w:r>
        <w:rPr>
          <w:rFonts w:ascii="Times New Roman" w:hAnsi="Times New Roman" w:cs="Times New Roman" w:eastAsia="Times New Roman"/>
          <w:sz w:val="24"/>
          <w:szCs w:val="24"/>
        </w:rPr>
        <w:t>1. Қаржылық қиындық пен заңдық банкроттықтың айырмасы қандай?</w:t>
      </w:r>
    </w:p>
    <w:p>
      <w:pPr>
        <w:spacing w:after="80"/>
        <w:ind w:left="170" w:firstLine="709"/>
        <w:jc w:val="both"/>
        <w:rPr>
          <w:szCs w:val="24"/>
        </w:rPr>
      </w:pPr>
      <w:r>
        <w:rPr>
          <w:rFonts w:ascii="Times New Roman" w:hAnsi="Times New Roman" w:cs="Times New Roman" w:eastAsia="Times New Roman"/>
          <w:sz w:val="24"/>
          <w:szCs w:val="24"/>
        </w:rPr>
        <w:t>2. Классикалық модель қандай ұйымдар үшін әзірленген?</w:t>
      </w:r>
    </w:p>
    <w:p>
      <w:pPr>
        <w:spacing w:after="80"/>
        <w:ind w:left="170" w:firstLine="709"/>
        <w:jc w:val="both"/>
        <w:rPr>
          <w:szCs w:val="24"/>
        </w:rPr>
      </w:pPr>
      <w:r>
        <w:rPr>
          <w:rFonts w:ascii="Times New Roman" w:hAnsi="Times New Roman" w:cs="Times New Roman" w:eastAsia="Times New Roman"/>
          <w:sz w:val="24"/>
          <w:szCs w:val="24"/>
        </w:rPr>
        <w:t>3. X₂ мен X₄-ті есептеуде қандай қателер жиі болады?</w:t>
      </w:r>
    </w:p>
    <w:p>
      <w:pPr>
        <w:spacing w:after="80"/>
        <w:ind w:left="170" w:firstLine="709"/>
        <w:jc w:val="both"/>
        <w:rPr>
          <w:szCs w:val="24"/>
        </w:rPr>
      </w:pPr>
      <w:r>
        <w:rPr>
          <w:rFonts w:ascii="Times New Roman" w:hAnsi="Times New Roman" w:cs="Times New Roman" w:eastAsia="Times New Roman"/>
          <w:sz w:val="24"/>
          <w:szCs w:val="24"/>
        </w:rPr>
        <w:t>4. Z 4,34 болса, неліктен тәуекел толық жойылды деуге болмайды?</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Өзіңізді тексеріңіз</w:t>
      </w:r>
    </w:p>
    <w:p>
      <w:pPr>
        <w:ind w:firstLine="709"/>
        <w:jc w:val="both"/>
        <w:rPr>
          <w:szCs w:val="24"/>
        </w:rPr>
      </w:pPr>
      <w:r>
        <w:rPr>
          <w:rFonts w:ascii="Times New Roman" w:hAnsi="Times New Roman" w:cs="Times New Roman" w:eastAsia="Times New Roman"/>
          <w:sz w:val="24"/>
          <w:szCs w:val="24"/>
        </w:rPr>
        <w:t>X₁ = 0,10; X₂ = 0,05; X₃ = 0,04; X₄ = 0,50; X₅ = 0,80 болса, Z = 1,422. Нәтиже классикалық шек бойынша күйзеліс аймағында, бірақ қорытынды ақша ағыны мен қарыз мерзімдерін қосымша тексеруді қажет етеді.</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Тақырып бойынша ұсынылатын әдебиеттер</w:t>
      </w:r>
    </w:p>
    <w:p>
      <w:pPr>
        <w:spacing w:after="60"/>
        <w:ind w:firstLine="709"/>
        <w:jc w:val="both"/>
        <w:rPr>
          <w:szCs w:val="24"/>
        </w:rPr>
      </w:pPr>
      <w:r>
        <w:rPr>
          <w:rFonts w:ascii="Times New Roman" w:hAnsi="Times New Roman" w:cs="Times New Roman" w:eastAsia="Times New Roman"/>
          <w:sz w:val="24"/>
          <w:szCs w:val="24"/>
        </w:rPr>
        <w:t xml:space="preserve">[Ә1] Кириченко, Д. А. Финансовый анализ : учебное пособие / Д. А. Кириченко, Н. Е. Симионова. — Москва : Ай Пи Ар Медиа, 2022. — 103 c. — ISBN 978-5-4497-1740-5. — Текст : электронный // Цифровой образовательный ресурс IPR SMART : [сайт]. </w:t>
      </w:r>
      <w:hyperlink r:id="rId8">
        <w:r>
          <w:rPr>
            <w:rFonts w:ascii="Times New Roman" w:hAnsi="Times New Roman" w:cs="Times New Roman" w:eastAsia="Times New Roman"/>
            <w:u w:val="single"/>
            <w:color w:val="000000"/>
            <w:sz w:val="24"/>
            <w:szCs w:val="24"/>
          </w:rPr>
          <w:t>Электрондық каталог</w:t>
        </w:r>
      </w:hyperlink>
    </w:p>
    <w:p>
      <w:pPr>
        <w:spacing w:after="60"/>
        <w:ind w:firstLine="709"/>
        <w:jc w:val="both"/>
        <w:rPr>
          <w:szCs w:val="24"/>
        </w:rPr>
      </w:pPr>
      <w:r>
        <w:rPr>
          <w:rFonts w:ascii="Times New Roman" w:hAnsi="Times New Roman" w:cs="Times New Roman" w:eastAsia="Times New Roman"/>
          <w:sz w:val="24"/>
          <w:szCs w:val="24"/>
        </w:rPr>
        <w:t xml:space="preserve">[Ә4] Илышева, Н. Н. Анализ финансовой отчетности : учебное пособие для студентов вузов, обучающихся по специальности «Бухгалтерский учет, анализ и аудит», «Финансы и кредит» / Н. Н. Илышева, С. И. Крылов. — Москва : ЮНИТИ-ДАНА, 2023. — 240 c. — ISBN 978-5-238-01253-7. — Текст : электронный // Цифровой образовательный ресурс IPR SMART : [сайт]. </w:t>
      </w:r>
      <w:hyperlink r:id="rId14">
        <w:r>
          <w:rPr>
            <w:rFonts w:ascii="Times New Roman" w:hAnsi="Times New Roman" w:cs="Times New Roman" w:eastAsia="Times New Roman"/>
            <w:u w:val="single"/>
            <w:color w:val="000000"/>
            <w:sz w:val="24"/>
            <w:szCs w:val="24"/>
          </w:rPr>
          <w:t>Электрондық каталог</w:t>
        </w:r>
      </w:hyperlink>
    </w:p>
    <w:p>
      <w:pPr>
        <w:spacing w:after="60"/>
        <w:ind w:firstLine="709"/>
        <w:jc w:val="both"/>
        <w:rPr>
          <w:szCs w:val="24"/>
        </w:rPr>
      </w:pPr>
      <w:r>
        <w:rPr>
          <w:rFonts w:ascii="Times New Roman" w:hAnsi="Times New Roman" w:cs="Times New Roman" w:eastAsia="Times New Roman"/>
          <w:sz w:val="24"/>
          <w:szCs w:val="24"/>
        </w:rPr>
        <w:t>[Ә6] Техника финансового анализа в контексте антикризисного управления предприятием: Учебное пособие/ О.В.Куур, Р.А. Костырко. - Усть-Каменогорск, ВКГТУ, 2019. – 170 с.</w:t>
      </w:r>
    </w:p>
    <w:p>
      <w:pPr>
        <w:spacing w:after="60"/>
        <w:ind w:firstLine="709"/>
        <w:jc w:val="both"/>
        <w:rPr>
          <w:szCs w:val="24"/>
        </w:rPr>
      </w:pPr>
      <w:r>
        <w:rPr>
          <w:rFonts w:ascii="Times New Roman" w:hAnsi="Times New Roman" w:cs="Times New Roman" w:eastAsia="Times New Roman"/>
          <w:sz w:val="24"/>
          <w:szCs w:val="24"/>
        </w:rPr>
        <w:t>[Ә13] Савицкая Г.В. Анализ хозяйственной деятельности предприятия. - М.: Инфра-М, 2010. - 536 с.</w:t>
      </w:r>
    </w:p>
    <w:p>
      <w:pPr>
        <w:spacing w:after="60"/>
        <w:ind w:firstLine="709"/>
        <w:jc w:val="both"/>
        <w:rPr>
          <w:szCs w:val="24"/>
        </w:rPr>
      </w:pPr>
      <w:r>
        <w:rPr>
          <w:rFonts w:ascii="Times New Roman" w:hAnsi="Times New Roman" w:cs="Times New Roman" w:eastAsia="Times New Roman"/>
          <w:sz w:val="24"/>
          <w:szCs w:val="24"/>
        </w:rPr>
        <w:t>[Ә17] Костырко Р.А., Куур О.В. Финансовый анализ: теория и практика в контексте МСФО: Учебное пособие.- Усть-Каменогорск, ВКГТУ, 2011.- 180 с.</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Ресми және бастапқы дереккөздер</w:t>
      </w:r>
    </w:p>
    <w:p>
      <w:pPr>
        <w:spacing w:after="60"/>
        <w:ind w:firstLine="709"/>
        <w:jc w:val="both"/>
        <w:rPr>
          <w:szCs w:val="24"/>
        </w:rPr>
      </w:pPr>
      <w:r>
        <w:rPr>
          <w:rFonts w:ascii="Times New Roman" w:hAnsi="Times New Roman" w:cs="Times New Roman" w:eastAsia="Times New Roman"/>
          <w:sz w:val="24"/>
          <w:szCs w:val="24"/>
        </w:rPr>
        <w:t xml:space="preserve">[Н17] Altman E. I. Financial Ratios, Discriminant Analysis and the Prediction of Corporate Bankruptcy. The Journal of Finance. 1968. Vol. 23, No. 4. P. 589–609. DOI 10.1111/j.1540-6261.1968.tb00843.x. </w:t>
      </w:r>
      <w:hyperlink r:id="rId15">
        <w:r>
          <w:rPr>
            <w:rFonts w:ascii="Times New Roman" w:hAnsi="Times New Roman" w:cs="Times New Roman" w:eastAsia="Times New Roman"/>
            <w:u w:val="single"/>
            <w:color w:val="000000"/>
            <w:sz w:val="24"/>
            <w:szCs w:val="24"/>
          </w:rPr>
          <w:t>Дереккөзді ашу</w:t>
        </w:r>
      </w:hyperlink>
    </w:p>
    <w:sectPr w:rsidR="008832B7" w:rsidRPr="00285FFA" w:rsidSect="00034616">
      <w:footerReference w:type="default" r:id="rId11"/>
      <w:pgSz w:w="11906" w:h="16838"/>
      <w:pgMar w:top="1134" w:right="1134" w:bottom="1134" w:left="1304" w:header="454"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28C0" w:rsidRDefault="006828C0">
      <w:pPr>
        <w:spacing w:after="0" w:line="240" w:lineRule="auto"/>
      </w:pPr>
      <w:r>
        <w:separator/>
      </w:r>
    </w:p>
  </w:endnote>
  <w:endnote w:type="continuationSeparator" w:id="0">
    <w:p w:rsidR="006828C0" w:rsidRDefault="006828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2B7" w:rsidRDefault="006828C0">
    <w:pPr>
      <w:pStyle w:val="a7"/>
      <w:jc w:val="right"/>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28C0" w:rsidRDefault="006828C0">
      <w:pPr>
        <w:spacing w:after="0" w:line="240" w:lineRule="auto"/>
      </w:pPr>
      <w:r>
        <w:separator/>
      </w:r>
    </w:p>
  </w:footnote>
  <w:footnote w:type="continuationSeparator" w:id="0">
    <w:p w:rsidR="006828C0" w:rsidRDefault="006828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83B0E"/>
    <w:rsid w:val="000A5FE7"/>
    <w:rsid w:val="0015074B"/>
    <w:rsid w:val="00226DD7"/>
    <w:rsid w:val="00285FFA"/>
    <w:rsid w:val="0029639D"/>
    <w:rsid w:val="00326F90"/>
    <w:rsid w:val="006828C0"/>
    <w:rsid w:val="008832B7"/>
    <w:rsid w:val="00AA1D8D"/>
    <w:rsid w:val="00B47730"/>
    <w:rsid w:val="00B93A4F"/>
    <w:rsid w:val="00CB0664"/>
    <w:rsid w:val="00E111E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9CD36D"/>
  <w14:defaultImageDpi w14:val="300"/>
  <w15:docId w15:val="{993F3D0F-53E7-432A-AA21-12E8BE20E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100" w:line="264" w:lineRule="auto"/>
    </w:pPr>
    <w:rPr>
      <w:rFonts w:ascii="Times New Roman" w:eastAsia="Times New Roman" w:hAnsi="Times New Roman" w:cs="Times New Roman"/>
      <w:color w:val="000000"/>
      <w:sz w:val="24"/>
      <w:lang w:val="kk-KZ"/>
    </w:rPr>
  </w:style>
  <w:style w:type="paragraph" w:styleId="1">
    <w:name w:val="heading 1"/>
    <w:basedOn w:val="a1"/>
    <w:next w:val="a1"/>
    <w:link w:val="10"/>
    <w:uiPriority w:val="9"/>
    <w:qFormat/>
    <w:rsid w:val="00FC693F"/>
    <w:pPr>
      <w:keepNext/>
      <w:keepLines/>
      <w:spacing w:before="200"/>
      <w:outlineLvl w:val="0"/>
    </w:pPr>
    <w:rPr>
      <w:rFonts w:asciiTheme="majorHAnsi" w:eastAsiaTheme="majorEastAsia" w:hAnsiTheme="majorHAnsi" w:cstheme="majorBidi"/>
      <w:b/>
      <w:bCs/>
      <w:sz w:val="26"/>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200" w:line="240" w:lineRule="auto"/>
      <w:contextualSpacing/>
    </w:pPr>
    <w:rPr>
      <w:rFonts w:asciiTheme="majorHAnsi" w:eastAsiaTheme="majorEastAsia" w:hAnsiTheme="majorHAnsi" w:cstheme="majorBidi"/>
      <w:b/>
      <w:spacing w:val="5"/>
      <w:kern w:val="28"/>
      <w:sz w:val="34"/>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spacing w:val="15"/>
      <w:sz w:val="22"/>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spacing w:after="60"/>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spacing w:after="60"/>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prbookshop.ru/123545.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adilet.zan.kz/kaz/docs/Z070000234_" TargetMode="External"/><Relationship Id="rId4" Type="http://schemas.openxmlformats.org/officeDocument/2006/relationships/settings" Target="settings.xml"/><Relationship Id="rId9" Type="http://schemas.openxmlformats.org/officeDocument/2006/relationships/hyperlink" Target="https://www.ifrs.org/issued-standards/list-of-standards/conceptual-framework/" TargetMode="External"/><Relationship Id="rId14" Type="http://schemas.openxmlformats.org/officeDocument/2006/relationships/hyperlink" Target="https://www.iprbookshop.ru/142666.html" TargetMode="External"/><Relationship Id="rId15" Type="http://schemas.openxmlformats.org/officeDocument/2006/relationships/hyperlink" Target="https://doi.org/10.1111/j.1540-6261.1968.tb00843.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D40BCA-429B-43FA-8F9E-8A8797148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983</Words>
  <Characters>5608</Characters>
  <Application>Microsoft Office Word</Application>
  <DocSecurity>0</DocSecurity>
  <Lines>46</Lines>
  <Paragraphs>13</Paragraphs>
  <ScaleCrop>false</ScaleCrop>
  <HeadingPairs>
    <vt:vector size="6" baseType="variant">
      <vt:variant>
        <vt:lpstr>Название</vt:lpstr>
      </vt:variant>
      <vt:variant>
        <vt:i4>1</vt:i4>
      </vt:variant>
      <vt:variant>
        <vt:lpstr>Заголовки</vt:lpstr>
      </vt:variant>
      <vt:variant>
        <vt:i4>10</vt:i4>
      </vt:variant>
      <vt:variant>
        <vt:lpstr>Title</vt:lpstr>
      </vt:variant>
      <vt:variant>
        <vt:i4>1</vt:i4>
      </vt:variant>
    </vt:vector>
  </HeadingPairs>
  <TitlesOfParts>
    <vt:vector size="12" baseType="lpstr">
      <vt:lpstr>1 дәріс Қаржылық есептіліктің тұжырымдамалық және нормативтік негіздері</vt:lpstr>
      <vt:lpstr>1 Қаржылық есептілік қандай сұрақтарға жауап береді</vt:lpstr>
      <vt:lpstr>2 Есептіліктің бес элементі</vt:lpstr>
      <vt:lpstr>3 Пайдалы ақпараттың сапасы</vt:lpstr>
      <vt:lpstr>4 Тану, бағалау және Қазақстандағы реттеу</vt:lpstr>
      <vt:lpstr>5 Операцияны түсіндіретін мысал</vt:lpstr>
      <vt:lpstr>Жиі кездесетін қателер</vt:lpstr>
      <vt:lpstr>Бақылау сұрақтары</vt:lpstr>
      <vt:lpstr>Өзіңізді тексеріңіз</vt:lpstr>
      <vt:lpstr>Тақырып бойынша ұсынылатын әдебиеттер</vt:lpstr>
      <vt:lpstr>Ресми және бастапқы дереккөздер</vt:lpstr>
      <vt:lpstr/>
    </vt:vector>
  </TitlesOfParts>
  <Manager/>
  <Company/>
  <LinksUpToDate>false</LinksUpToDate>
  <CharactersWithSpaces>6578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Банкроттық ықтималдығын талдау</dc:title>
  <dc:subject>Қаржылық есептілікті жасау және талдау</dc:subject>
  <dc:creator>Гульжан Байтикенова</dc:creator>
  <cp:keywords/>
  <dc:description>generated by python-docx</dc:description>
  <cp:lastModifiedBy>Гульжан Байтикенова</cp:lastModifiedBy>
  <cp:revision>3</cp:revision>
  <dcterms:created xsi:type="dcterms:W3CDTF">2026-10-21T06:13:00Z</dcterms:created>
  <dcterms:modified xsi:type="dcterms:W3CDTF">2026-10-21T06:15:00Z</dcterms:modified>
  <cp:category/>
</cp:coreProperties>
</file>