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40"/>
        <w:ind w:firstLine="709"/>
        <w:jc w:val="both"/>
        <w:rPr>
          <w:szCs w:val="24"/>
        </w:rPr>
      </w:pPr>
      <w:r>
        <w:rPr>
          <w:rFonts w:ascii="Times New Roman" w:hAnsi="Times New Roman" w:cs="Times New Roman" w:eastAsia="Times New Roman"/>
          <w:b/>
          <w:sz w:val="24"/>
          <w:szCs w:val="24"/>
        </w:rPr>
        <w:t>19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Залалсыздықты талдау</w:t>
      </w:r>
    </w:p>
    <w:p>
      <w:pPr>
        <w:spacing w:after="40"/>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Тұрақты және айнымалы шығынды ажырату, залалсыздық нүктесін есептеу және баға мен шығын өзгерісіне нәтижені бағалау.</w:t>
      </w:r>
    </w:p>
    <w:p>
      <w:pPr>
        <w:spacing w:after="40"/>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Залалсыздықтың мағынасы; Тұрақты, айнымалы және аралас шығын; Маржиналдық табыс; Залалсыздық нүктесін есептеу; Қауіпсіздік қоры және мақсатты пайда; Баға мен шығынға сезімталдық; Қолдану шарттары.</w:t>
      </w:r>
    </w:p>
    <w:p>
      <w:pPr>
        <w:pStyle w:val="1"/>
        <w:spacing w:before="120"/>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Залалсыздықтың мағынасы</w:t>
      </w:r>
    </w:p>
    <w:p>
      <w:pPr>
        <w:spacing w:after="40"/>
        <w:ind w:firstLine="709"/>
        <w:jc w:val="both"/>
        <w:rPr>
          <w:szCs w:val="24"/>
        </w:rPr>
      </w:pPr>
      <w:r>
        <w:rPr>
          <w:rFonts w:ascii="Times New Roman" w:hAnsi="Times New Roman" w:cs="Times New Roman" w:eastAsia="Times New Roman"/>
          <w:sz w:val="24"/>
          <w:szCs w:val="24"/>
        </w:rPr>
        <w:t>Залалсыздық нүктесі — сатудан түскен кіріс барлық тиісті шығынды жауып, операциялық пайда нөлге тең болатын сату көлемі. Ол «қанша өнім сатқаннан кейін пайда басталады?» деген сұраққа жауап береді. Бұл талдау баға белгілеу, өндіріс көлемін жоспарлау және шығын құрылымын бағалау үшін қолданылады.</w:t>
      </w:r>
    </w:p>
    <w:p>
      <w:pPr>
        <w:spacing w:after="40"/>
        <w:ind w:firstLine="709"/>
        <w:jc w:val="both"/>
        <w:rPr>
          <w:szCs w:val="24"/>
        </w:rPr>
      </w:pPr>
      <w:r>
        <w:rPr>
          <w:rFonts w:ascii="Times New Roman" w:hAnsi="Times New Roman" w:cs="Times New Roman" w:eastAsia="Times New Roman"/>
          <w:sz w:val="24"/>
          <w:szCs w:val="24"/>
        </w:rPr>
        <w:t>Залалсыздық ақша тапшылығы жоқ дегенді білдірмейді. Сату несиеге жасалса, қағаздағы шығын жабылғанымен, төлем кешігуі мүмкін. Инвестицияның өтелу мерзімі де бөлек ұғым: залалсыздық кезеңдік кіріс пен шығынды, өтелу бастапқы салымның уақыт ішінде қайтарылуын қарастырады.</w:t>
      </w:r>
    </w:p>
    <w:p>
      <w:pPr>
        <w:pStyle w:val="1"/>
        <w:spacing w:before="120"/>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Тұрақты, айнымалы және аралас шығын</w:t>
      </w:r>
    </w:p>
    <w:p>
      <w:pPr>
        <w:spacing w:after="40"/>
        <w:ind w:firstLine="709"/>
        <w:jc w:val="both"/>
        <w:rPr>
          <w:szCs w:val="24"/>
        </w:rPr>
      </w:pPr>
      <w:r>
        <w:rPr>
          <w:rFonts w:ascii="Times New Roman" w:hAnsi="Times New Roman" w:cs="Times New Roman" w:eastAsia="Times New Roman"/>
          <w:sz w:val="24"/>
          <w:szCs w:val="24"/>
        </w:rPr>
        <w:t>Тұрақты шығын тиісті қызмет ауқымында көлем өзгерсе де жиынтық сомада салыстырмалы тұрақты болады. Мысалы, жалдау ақысы. Бір өнімге шаққандағы тұрақты шығын көлем артқанда азаяды. Айнымалы шығын жиынтық сомада өнім көлеміне байланысты, ал бір өнімге есептегенде белгіленген аралықта тұрақты деп алынады.</w:t>
      </w:r>
    </w:p>
    <w:p>
      <w:pPr>
        <w:spacing w:after="40"/>
        <w:ind w:firstLine="709"/>
        <w:jc w:val="both"/>
        <w:rPr>
          <w:szCs w:val="24"/>
        </w:rPr>
      </w:pPr>
      <w:r>
        <w:rPr>
          <w:rFonts w:ascii="Times New Roman" w:hAnsi="Times New Roman" w:cs="Times New Roman" w:eastAsia="Times New Roman"/>
          <w:sz w:val="24"/>
          <w:szCs w:val="24"/>
        </w:rPr>
        <w:t>Аралас шығынның тұрақты және айнымалы бөлігі бар. Мысалы, электр төлемінде қуат үшін тұрақты ақы мен тұтынуға байланысты ақы болуы мүмкін. Барлық шығынды тек атауына қарап жіктеу дұрыс емес: шарт пен шығынның мінез-құлқы зерттеледі. Ұзақ мерзімде бұрын тұрақты болған шығын да өзгеруі мүмкін.</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Шығын түрі</w:t>
            </w:r>
          </w:p>
        </w:tc>
        <w:tc>
          <w:tcPr>
            <w:tcW w:type="dxa" w:w="3219"/>
            <w:vAlign w:val="center"/>
            <w:shd w:fill="E9EEF4"/>
          </w:tcPr>
          <w:p>
            <w:pPr>
              <w:spacing w:line="252" w:lineRule="auto" w:after="20"/>
            </w:pPr>
            <w:r>
              <w:rPr>
                <w:rFonts w:ascii="Times New Roman" w:hAnsi="Times New Roman" w:cs="Times New Roman" w:eastAsia="Times New Roman"/>
                <w:b/>
                <w:sz w:val="24"/>
                <w:szCs w:val="24"/>
              </w:rPr>
              <w:t>Жиынтық соманың мінезі</w:t>
            </w:r>
          </w:p>
        </w:tc>
        <w:tc>
          <w:tcPr>
            <w:tcW w:type="dxa" w:w="3219"/>
            <w:vAlign w:val="center"/>
            <w:shd w:fill="E9EEF4"/>
          </w:tcPr>
          <w:p>
            <w:pPr>
              <w:spacing w:line="252" w:lineRule="auto" w:after="20"/>
            </w:pPr>
            <w:r>
              <w:rPr>
                <w:rFonts w:ascii="Times New Roman" w:hAnsi="Times New Roman" w:cs="Times New Roman" w:eastAsia="Times New Roman"/>
                <w:b/>
                <w:sz w:val="24"/>
                <w:szCs w:val="24"/>
              </w:rPr>
              <w:t>Оқу мысалы</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Тұрақты</w:t>
            </w:r>
          </w:p>
        </w:tc>
        <w:tc>
          <w:tcPr>
            <w:tcW w:type="dxa" w:w="3219"/>
            <w:vAlign w:val="center"/>
          </w:tcPr>
          <w:p>
            <w:pPr>
              <w:spacing w:line="252" w:lineRule="auto" w:after="20"/>
            </w:pPr>
            <w:r>
              <w:rPr>
                <w:rFonts w:ascii="Times New Roman" w:hAnsi="Times New Roman" w:cs="Times New Roman" w:eastAsia="Times New Roman"/>
                <w:sz w:val="24"/>
                <w:szCs w:val="24"/>
              </w:rPr>
              <w:t>Тиісті аралықта көлемге тікелей тәуелсіз</w:t>
            </w:r>
          </w:p>
        </w:tc>
        <w:tc>
          <w:tcPr>
            <w:tcW w:type="dxa" w:w="3219"/>
            <w:vAlign w:val="center"/>
          </w:tcPr>
          <w:p>
            <w:pPr>
              <w:spacing w:line="252" w:lineRule="auto" w:after="20"/>
            </w:pPr>
            <w:r>
              <w:rPr>
                <w:rFonts w:ascii="Times New Roman" w:hAnsi="Times New Roman" w:cs="Times New Roman" w:eastAsia="Times New Roman"/>
                <w:sz w:val="24"/>
                <w:szCs w:val="24"/>
              </w:rPr>
              <w:t>Айлық жалдау</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Айнымалы</w:t>
            </w:r>
          </w:p>
        </w:tc>
        <w:tc>
          <w:tcPr>
            <w:tcW w:type="dxa" w:w="3219"/>
            <w:vAlign w:val="center"/>
          </w:tcPr>
          <w:p>
            <w:pPr>
              <w:spacing w:line="252" w:lineRule="auto" w:after="20"/>
            </w:pPr>
            <w:r>
              <w:rPr>
                <w:rFonts w:ascii="Times New Roman" w:hAnsi="Times New Roman" w:cs="Times New Roman" w:eastAsia="Times New Roman"/>
                <w:sz w:val="24"/>
                <w:szCs w:val="24"/>
              </w:rPr>
              <w:t>Көлемге байланысты өседі</w:t>
            </w:r>
          </w:p>
        </w:tc>
        <w:tc>
          <w:tcPr>
            <w:tcW w:type="dxa" w:w="3219"/>
            <w:vAlign w:val="center"/>
          </w:tcPr>
          <w:p>
            <w:pPr>
              <w:spacing w:line="252" w:lineRule="auto" w:after="20"/>
            </w:pPr>
            <w:r>
              <w:rPr>
                <w:rFonts w:ascii="Times New Roman" w:hAnsi="Times New Roman" w:cs="Times New Roman" w:eastAsia="Times New Roman"/>
                <w:sz w:val="24"/>
                <w:szCs w:val="24"/>
              </w:rPr>
              <w:t>Бір өнімге жұмсалатын материал</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Аралас</w:t>
            </w:r>
          </w:p>
        </w:tc>
        <w:tc>
          <w:tcPr>
            <w:tcW w:type="dxa" w:w="3219"/>
            <w:vAlign w:val="center"/>
          </w:tcPr>
          <w:p>
            <w:pPr>
              <w:spacing w:line="252" w:lineRule="auto" w:after="20"/>
            </w:pPr>
            <w:r>
              <w:rPr>
                <w:rFonts w:ascii="Times New Roman" w:hAnsi="Times New Roman" w:cs="Times New Roman" w:eastAsia="Times New Roman"/>
                <w:sz w:val="24"/>
                <w:szCs w:val="24"/>
              </w:rPr>
              <w:t>Екі бөліктен тұрады</w:t>
            </w:r>
          </w:p>
        </w:tc>
        <w:tc>
          <w:tcPr>
            <w:tcW w:type="dxa" w:w="3219"/>
            <w:vAlign w:val="center"/>
          </w:tcPr>
          <w:p>
            <w:pPr>
              <w:spacing w:line="252" w:lineRule="auto" w:after="20"/>
            </w:pPr>
            <w:r>
              <w:rPr>
                <w:rFonts w:ascii="Times New Roman" w:hAnsi="Times New Roman" w:cs="Times New Roman" w:eastAsia="Times New Roman"/>
                <w:sz w:val="24"/>
                <w:szCs w:val="24"/>
              </w:rPr>
              <w:t>Тұрақты және тұтыну ақысы бар қызмет</w:t>
            </w:r>
          </w:p>
        </w:tc>
      </w:tr>
    </w:tbl>
    <w:p>
      <w:pPr>
        <w:spacing w:after="40"/>
        <w:ind w:firstLine="709"/>
        <w:jc w:val="both"/>
        <w:rPr>
          <w:szCs w:val="24"/>
        </w:rPr>
      </w:pPr>
    </w:p>
    <w:p>
      <w:pPr>
        <w:pStyle w:val="1"/>
        <w:spacing w:before="120"/>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Маржиналдық табыс</w:t>
      </w:r>
    </w:p>
    <w:p>
      <w:pPr>
        <w:spacing w:after="40"/>
        <w:ind w:firstLine="709"/>
        <w:jc w:val="both"/>
        <w:rPr>
          <w:szCs w:val="24"/>
        </w:rPr>
      </w:pPr>
      <w:r>
        <w:rPr>
          <w:rFonts w:ascii="Times New Roman" w:hAnsi="Times New Roman" w:cs="Times New Roman" w:eastAsia="Times New Roman"/>
          <w:sz w:val="24"/>
          <w:szCs w:val="24"/>
        </w:rPr>
        <w:t>Бір өнімнің маржиналдық табысы оның бағасынан бірлік айнымалы шығынды шегерумен табылады. Ол алдымен тұрақты шығынды жабады, содан кейін пайда қалыптастырады. Маржиналдық табыс таза пайда да, ақша түсімі де емес.</w:t>
      </w:r>
    </w:p>
    <w:p>
      <w:pPr>
        <w:spacing w:after="40"/>
        <w:ind w:firstLine="709"/>
        <w:jc w:val="both"/>
        <w:rPr>
          <w:szCs w:val="24"/>
        </w:rPr>
      </w:pPr>
      <m:oMath>
        <m:r>
          <m:rPr>
            <m:nor/>
          </m:rPr>
          <w:rPr>
            <w:rFonts w:ascii="Times New Roman" w:hAnsi="Times New Roman"/>
            <w:sz w:val="22"/>
          </w:rPr>
          <m:t xml:space="preserve">Бірлік маржиналдық табыс = Баға − Бірлік айнымалы шығын</m:t>
        </m:r>
      </m:oMath>
    </w:p>
    <w:p>
      <w:pPr>
        <w:spacing w:after="40"/>
        <w:ind w:firstLine="709"/>
        <w:jc w:val="both"/>
        <w:rPr>
          <w:szCs w:val="24"/>
        </w:rPr>
        <w:keepNext/>
      </w:pPr>
      <w:r>
        <w:rPr>
          <w:rFonts w:ascii="Times New Roman" w:hAnsi="Times New Roman" w:cs="Times New Roman" w:eastAsia="Times New Roman"/>
          <w:b/>
          <w:sz w:val="24"/>
          <w:szCs w:val="24"/>
        </w:rPr>
        <w:t>Маржиналдық табыс үлесі</w:t>
      </w:r>
    </w:p>
    <w:p>
      <w:pPr>
        <w:spacing w:after="40"/>
        <w:ind w:firstLine="709"/>
        <w:jc w:val="both"/>
        <w:rPr>
          <w:szCs w:val="24"/>
        </w:rPr>
      </w:pPr>
      <m:oMath>
        <m:f>
          <m:num>
            <m:r>
              <m:rPr>
                <m:nor/>
              </m:rPr>
              <w:rPr>
                <w:rFonts w:ascii="Times New Roman" w:hAnsi="Times New Roman"/>
                <w:sz w:val="22"/>
              </w:rPr>
              <m:t xml:space="preserve">Баға − Бірлік айнымалы шығын</m:t>
            </m:r>
          </m:num>
          <m:den>
            <m:r>
              <m:rPr>
                <m:nor/>
              </m:rPr>
              <w:rPr>
                <w:rFonts w:ascii="Times New Roman" w:hAnsi="Times New Roman"/>
                <w:sz w:val="22"/>
              </w:rPr>
              <m:t xml:space="preserve">Баға</m:t>
            </m:r>
          </m:den>
        </m:f>
        <m:r>
          <m:rPr>
            <m:nor/>
          </m:rPr>
          <w:rPr>
            <w:rFonts w:ascii="Times New Roman" w:hAnsi="Times New Roman"/>
            <w:sz w:val="22"/>
          </w:rPr>
          <m:t xml:space="preserve"> × 100%</m:t>
        </m:r>
      </m:oMath>
    </w:p>
    <w:p>
      <w:pPr>
        <w:spacing w:after="40"/>
        <w:ind w:firstLine="709"/>
        <w:jc w:val="both"/>
        <w:rPr>
          <w:szCs w:val="24"/>
        </w:rPr>
      </w:pPr>
      <w:r>
        <w:rPr>
          <w:rFonts w:ascii="Times New Roman" w:hAnsi="Times New Roman" w:cs="Times New Roman" w:eastAsia="Times New Roman"/>
          <w:sz w:val="24"/>
          <w:szCs w:val="24"/>
        </w:rPr>
        <w:t>Осы дәрістің жеке оқу мысалында өнім бағасы 10 000 теңге, бірлік айнымалы шығын 6 000 теңге, кезеңнің тұрақты шығыны 12 000 000 теңге. Бірлік маржиналдық табыс 4 000 теңге, оның кірістегі үлесі 40%. Бұл мысал алдыңғы дәрістердегі кәсіпорын балансын қайта есептеу емес, бөлек өнімдік жағдай.</w:t>
      </w:r>
    </w:p>
    <w:p>
      <w:pPr>
        <w:pStyle w:val="1"/>
        <w:spacing w:before="120"/>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Залалсыздық нүктесін есептеу</w:t>
      </w:r>
    </w:p>
    <w:p>
      <w:pPr>
        <w:spacing w:after="40"/>
        <w:ind w:firstLine="709"/>
        <w:jc w:val="both"/>
        <w:rPr>
          <w:szCs w:val="24"/>
        </w:rPr>
      </w:pPr>
      <w:r>
        <w:rPr>
          <w:rFonts w:ascii="Times New Roman" w:hAnsi="Times New Roman" w:cs="Times New Roman" w:eastAsia="Times New Roman"/>
          <w:sz w:val="24"/>
          <w:szCs w:val="24"/>
        </w:rPr>
        <w:t>Шығынды жабу үшін қажетті өнім саны тұрақты шығынды бірлік маржиналдық табысқа бөлумен табылады. Мысалда 12 000 000 / 4 000 = 3 000 дана. Ақшалай залалсыздық түсімі 30 000 000 теңге. Сондай нәтиже тұрақты шығынды 0,40 үлесіне бөлгенде де шығады.</w:t>
      </w:r>
    </w:p>
    <w:p>
      <w:pPr>
        <w:spacing w:after="40"/>
        <w:ind w:firstLine="709"/>
        <w:jc w:val="both"/>
        <w:rPr>
          <w:szCs w:val="24"/>
        </w:rPr>
        <w:keepNext/>
      </w:pPr>
      <w:r>
        <w:rPr>
          <w:rFonts w:ascii="Times New Roman" w:hAnsi="Times New Roman" w:cs="Times New Roman" w:eastAsia="Times New Roman"/>
          <w:b/>
          <w:sz w:val="24"/>
          <w:szCs w:val="24"/>
        </w:rPr>
        <w:t>Залалсыздық көлемі</w:t>
      </w:r>
    </w:p>
    <w:p>
      <w:pPr>
        <w:spacing w:after="40"/>
        <w:ind w:firstLine="709"/>
        <w:jc w:val="both"/>
        <w:rPr>
          <w:szCs w:val="24"/>
        </w:rPr>
      </w:pPr>
      <m:oMath>
        <m:f>
          <m:num>
            <m:r>
              <m:rPr>
                <m:nor/>
              </m:rPr>
              <w:rPr>
                <w:rFonts w:ascii="Times New Roman" w:hAnsi="Times New Roman"/>
                <w:sz w:val="22"/>
              </w:rPr>
              <m:t xml:space="preserve">Тұрақты шығын</m:t>
            </m:r>
          </m:num>
          <m:den>
            <m:r>
              <m:rPr>
                <m:nor/>
              </m:rPr>
              <w:rPr>
                <w:rFonts w:ascii="Times New Roman" w:hAnsi="Times New Roman"/>
                <w:sz w:val="22"/>
              </w:rPr>
              <m:t xml:space="preserve">Бірлік маржиналдық табыс</m:t>
            </m:r>
          </m:den>
        </m:f>
      </m:oMath>
    </w:p>
    <w:p>
      <w:pPr>
        <w:spacing w:after="40"/>
        <w:ind w:firstLine="709"/>
        <w:jc w:val="both"/>
        <w:rPr>
          <w:szCs w:val="24"/>
        </w:rPr>
      </w:pPr>
      <m:oMath>
        <m:r>
          <m:rPr>
            <m:nor/>
          </m:rPr>
          <w:rPr>
            <w:rFonts w:ascii="Times New Roman" w:hAnsi="Times New Roman"/>
            <w:sz w:val="22"/>
          </w:rPr>
          <m:t xml:space="preserve">Залалсыздық көлемі = 12 000 000 ÷ 4 000 = 3 000 дана</m:t>
        </m:r>
      </m:oMath>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219"/>
        <w:gridCol w:w="2083"/>
        <w:gridCol w:w="2083"/>
        <w:gridCol w:w="2083"/>
      </w:tblGrid>
      <w:tr>
        <w:trPr>
          <w:tblHeader/>
          <w:cantSplit/>
        </w:trPr>
        <w:tc>
          <w:tcPr>
            <w:tcW w:type="dxa" w:w="3219"/>
            <w:vAlign w:val="center"/>
            <w:shd w:fill="E9EEF4"/>
          </w:tcPr>
          <w:p>
            <w:pPr>
              <w:spacing w:line="252" w:lineRule="auto" w:after="20"/>
            </w:pPr>
            <w:r>
              <w:rPr>
                <w:rFonts w:ascii="Times New Roman" w:hAnsi="Times New Roman" w:cs="Times New Roman" w:eastAsia="Times New Roman"/>
                <w:b/>
                <w:sz w:val="24"/>
                <w:szCs w:val="24"/>
              </w:rPr>
              <w:t>Сату көлемі дана</w:t>
            </w:r>
          </w:p>
        </w:tc>
        <w:tc>
          <w:tcPr>
            <w:tcW w:type="dxa" w:w="2083"/>
            <w:vAlign w:val="center"/>
            <w:shd w:fill="E9EEF4"/>
          </w:tcPr>
          <w:p>
            <w:pPr>
              <w:spacing w:line="252" w:lineRule="auto" w:after="20"/>
            </w:pPr>
            <w:r>
              <w:rPr>
                <w:rFonts w:ascii="Times New Roman" w:hAnsi="Times New Roman" w:cs="Times New Roman" w:eastAsia="Times New Roman"/>
                <w:b/>
                <w:sz w:val="24"/>
                <w:szCs w:val="24"/>
              </w:rPr>
              <w:t>Кіріс теңге</w:t>
            </w:r>
          </w:p>
        </w:tc>
        <w:tc>
          <w:tcPr>
            <w:tcW w:type="dxa" w:w="2083"/>
            <w:vAlign w:val="center"/>
            <w:shd w:fill="E9EEF4"/>
          </w:tcPr>
          <w:p>
            <w:pPr>
              <w:spacing w:line="252" w:lineRule="auto" w:after="20"/>
            </w:pPr>
            <w:r>
              <w:rPr>
                <w:rFonts w:ascii="Times New Roman" w:hAnsi="Times New Roman" w:cs="Times New Roman" w:eastAsia="Times New Roman"/>
                <w:b/>
                <w:sz w:val="24"/>
                <w:szCs w:val="24"/>
              </w:rPr>
              <w:t>Жалпы шығын теңге</w:t>
            </w:r>
          </w:p>
        </w:tc>
        <w:tc>
          <w:tcPr>
            <w:tcW w:type="dxa" w:w="2083"/>
            <w:vAlign w:val="center"/>
            <w:shd w:fill="E9EEF4"/>
          </w:tcPr>
          <w:p>
            <w:pPr>
              <w:spacing w:line="252" w:lineRule="auto" w:after="20"/>
            </w:pPr>
            <w:r>
              <w:rPr>
                <w:rFonts w:ascii="Times New Roman" w:hAnsi="Times New Roman" w:cs="Times New Roman" w:eastAsia="Times New Roman"/>
                <w:b/>
                <w:sz w:val="24"/>
                <w:szCs w:val="24"/>
              </w:rPr>
              <w:t>Операциялық пайда теңге</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2 000</w:t>
            </w:r>
          </w:p>
        </w:tc>
        <w:tc>
          <w:tcPr>
            <w:tcW w:type="dxa" w:w="2083"/>
            <w:vAlign w:val="center"/>
          </w:tcPr>
          <w:p>
            <w:pPr>
              <w:spacing w:line="252" w:lineRule="auto" w:after="20"/>
              <w:jc w:val="center"/>
            </w:pPr>
            <w:r>
              <w:rPr>
                <w:rFonts w:ascii="Times New Roman" w:hAnsi="Times New Roman" w:cs="Times New Roman" w:eastAsia="Times New Roman"/>
                <w:sz w:val="24"/>
                <w:szCs w:val="24"/>
              </w:rPr>
              <w:t>20 000 000</w:t>
            </w:r>
          </w:p>
        </w:tc>
        <w:tc>
          <w:tcPr>
            <w:tcW w:type="dxa" w:w="2083"/>
            <w:vAlign w:val="center"/>
          </w:tcPr>
          <w:p>
            <w:pPr>
              <w:spacing w:line="252" w:lineRule="auto" w:after="20"/>
              <w:jc w:val="center"/>
            </w:pPr>
            <w:r>
              <w:rPr>
                <w:rFonts w:ascii="Times New Roman" w:hAnsi="Times New Roman" w:cs="Times New Roman" w:eastAsia="Times New Roman"/>
                <w:sz w:val="24"/>
                <w:szCs w:val="24"/>
              </w:rPr>
              <w:t>24 000 000</w:t>
            </w:r>
          </w:p>
        </w:tc>
        <w:tc>
          <w:tcPr>
            <w:tcW w:type="dxa" w:w="2083"/>
            <w:vAlign w:val="center"/>
          </w:tcPr>
          <w:p>
            <w:pPr>
              <w:spacing w:line="252" w:lineRule="auto" w:after="20"/>
              <w:jc w:val="center"/>
            </w:pPr>
            <w:r>
              <w:rPr>
                <w:rFonts w:ascii="Times New Roman" w:hAnsi="Times New Roman" w:cs="Times New Roman" w:eastAsia="Times New Roman"/>
                <w:sz w:val="24"/>
                <w:szCs w:val="24"/>
              </w:rPr>
              <w:t>−4 000 000</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3 000</w:t>
            </w:r>
          </w:p>
        </w:tc>
        <w:tc>
          <w:tcPr>
            <w:tcW w:type="dxa" w:w="2083"/>
            <w:vAlign w:val="center"/>
          </w:tcPr>
          <w:p>
            <w:pPr>
              <w:spacing w:line="252" w:lineRule="auto" w:after="20"/>
              <w:jc w:val="center"/>
            </w:pPr>
            <w:r>
              <w:rPr>
                <w:rFonts w:ascii="Times New Roman" w:hAnsi="Times New Roman" w:cs="Times New Roman" w:eastAsia="Times New Roman"/>
                <w:sz w:val="24"/>
                <w:szCs w:val="24"/>
              </w:rPr>
              <w:t>30 000 000</w:t>
            </w:r>
          </w:p>
        </w:tc>
        <w:tc>
          <w:tcPr>
            <w:tcW w:type="dxa" w:w="2083"/>
            <w:vAlign w:val="center"/>
          </w:tcPr>
          <w:p>
            <w:pPr>
              <w:spacing w:line="252" w:lineRule="auto" w:after="20"/>
              <w:jc w:val="center"/>
            </w:pPr>
            <w:r>
              <w:rPr>
                <w:rFonts w:ascii="Times New Roman" w:hAnsi="Times New Roman" w:cs="Times New Roman" w:eastAsia="Times New Roman"/>
                <w:sz w:val="24"/>
                <w:szCs w:val="24"/>
              </w:rPr>
              <w:t>30 000 000</w:t>
            </w:r>
          </w:p>
        </w:tc>
        <w:tc>
          <w:tcPr>
            <w:tcW w:type="dxa" w:w="2083"/>
            <w:vAlign w:val="center"/>
          </w:tcPr>
          <w:p>
            <w:pPr>
              <w:spacing w:line="252" w:lineRule="auto" w:after="20"/>
              <w:jc w:val="center"/>
            </w:pPr>
            <w:r>
              <w:rPr>
                <w:rFonts w:ascii="Times New Roman" w:hAnsi="Times New Roman" w:cs="Times New Roman" w:eastAsia="Times New Roman"/>
                <w:sz w:val="24"/>
                <w:szCs w:val="24"/>
              </w:rPr>
              <w:t>0</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4 000</w:t>
            </w:r>
          </w:p>
        </w:tc>
        <w:tc>
          <w:tcPr>
            <w:tcW w:type="dxa" w:w="2083"/>
            <w:vAlign w:val="center"/>
          </w:tcPr>
          <w:p>
            <w:pPr>
              <w:spacing w:line="252" w:lineRule="auto" w:after="20"/>
              <w:jc w:val="center"/>
            </w:pPr>
            <w:r>
              <w:rPr>
                <w:rFonts w:ascii="Times New Roman" w:hAnsi="Times New Roman" w:cs="Times New Roman" w:eastAsia="Times New Roman"/>
                <w:sz w:val="24"/>
                <w:szCs w:val="24"/>
              </w:rPr>
              <w:t>40 000 000</w:t>
            </w:r>
          </w:p>
        </w:tc>
        <w:tc>
          <w:tcPr>
            <w:tcW w:type="dxa" w:w="2083"/>
            <w:vAlign w:val="center"/>
          </w:tcPr>
          <w:p>
            <w:pPr>
              <w:spacing w:line="252" w:lineRule="auto" w:after="20"/>
              <w:jc w:val="center"/>
            </w:pPr>
            <w:r>
              <w:rPr>
                <w:rFonts w:ascii="Times New Roman" w:hAnsi="Times New Roman" w:cs="Times New Roman" w:eastAsia="Times New Roman"/>
                <w:sz w:val="24"/>
                <w:szCs w:val="24"/>
              </w:rPr>
              <w:t>36 000 000</w:t>
            </w:r>
          </w:p>
        </w:tc>
        <w:tc>
          <w:tcPr>
            <w:tcW w:type="dxa" w:w="2083"/>
            <w:vAlign w:val="center"/>
          </w:tcPr>
          <w:p>
            <w:pPr>
              <w:spacing w:line="252" w:lineRule="auto" w:after="20"/>
              <w:jc w:val="center"/>
            </w:pPr>
            <w:r>
              <w:rPr>
                <w:rFonts w:ascii="Times New Roman" w:hAnsi="Times New Roman" w:cs="Times New Roman" w:eastAsia="Times New Roman"/>
                <w:sz w:val="24"/>
                <w:szCs w:val="24"/>
              </w:rPr>
              <w:t>4 000 000</w:t>
            </w:r>
          </w:p>
        </w:tc>
      </w:tr>
    </w:tbl>
    <w:p>
      <w:pPr>
        <w:spacing w:after="40"/>
        <w:ind w:firstLine="709"/>
        <w:jc w:val="both"/>
        <w:rPr>
          <w:szCs w:val="24"/>
        </w:rPr>
      </w:pPr>
    </w:p>
    <w:p>
      <w:pPr>
        <w:spacing w:after="40"/>
        <w:ind w:firstLine="709"/>
        <w:jc w:val="both"/>
        <w:rPr>
          <w:szCs w:val="24"/>
        </w:rPr>
      </w:pPr>
      <w:r>
        <w:rPr>
          <w:rFonts w:ascii="Times New Roman" w:hAnsi="Times New Roman" w:cs="Times New Roman" w:eastAsia="Times New Roman"/>
          <w:sz w:val="24"/>
          <w:szCs w:val="24"/>
        </w:rPr>
        <w:t>Көлем 4 000 болғанда жиынтық маржиналдық табыс 16 миллион, оның 12 миллионы тұрақты шығынды жауып, 4 миллионы операциялық пайдаға қалады. Модельде пайыз бен пайда салығы бөлек қарастырылмаған.</w:t>
      </w:r>
    </w:p>
    <w:p>
      <w:pPr>
        <w:pStyle w:val="1"/>
        <w:spacing w:before="120"/>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Қауіпсіздік қоры және мақсатты пайда</w:t>
      </w:r>
    </w:p>
    <w:p>
      <w:pPr>
        <w:spacing w:after="40"/>
        <w:ind w:firstLine="709"/>
        <w:jc w:val="both"/>
        <w:rPr>
          <w:szCs w:val="24"/>
        </w:rPr>
      </w:pPr>
      <w:r>
        <w:rPr>
          <w:rFonts w:ascii="Times New Roman" w:hAnsi="Times New Roman" w:cs="Times New Roman" w:eastAsia="Times New Roman"/>
          <w:sz w:val="24"/>
          <w:szCs w:val="24"/>
        </w:rPr>
        <w:t>Қауіпсіздік қоры нақты немесе жоспарлы сатудың залалсыздық көлемінен қанша артық екенін көрсетеді. Жоспар 4 000, залалсыздық 3 000 болса, қор 1 000 дана немесе жоспардың 25%-ы. Берілген жорамалдар сақталғанда сату осы мөлшерге азайғанға дейін ұйым операциялық залалға түспейді.</w:t>
      </w:r>
    </w:p>
    <w:p>
      <w:pPr>
        <w:spacing w:after="40"/>
        <w:ind w:firstLine="709"/>
        <w:jc w:val="both"/>
        <w:rPr>
          <w:szCs w:val="24"/>
        </w:rPr>
        <w:keepNext/>
      </w:pPr>
      <w:r>
        <w:rPr>
          <w:rFonts w:ascii="Times New Roman" w:hAnsi="Times New Roman" w:cs="Times New Roman" w:eastAsia="Times New Roman"/>
          <w:b/>
          <w:sz w:val="24"/>
          <w:szCs w:val="24"/>
        </w:rPr>
        <w:t>Қауіпсіздік қоры</w:t>
      </w:r>
    </w:p>
    <w:p>
      <w:pPr>
        <w:spacing w:after="40"/>
        <w:ind w:firstLine="709"/>
        <w:jc w:val="both"/>
        <w:rPr>
          <w:szCs w:val="24"/>
        </w:rPr>
      </w:pPr>
      <m:oMath>
        <m:f>
          <m:num>
            <m:r>
              <m:rPr>
                <m:nor/>
              </m:rPr>
              <w:rPr>
                <w:rFonts w:ascii="Times New Roman" w:hAnsi="Times New Roman"/>
                <w:sz w:val="22"/>
              </w:rPr>
              <m:t xml:space="preserve">4 000 − 3 000</m:t>
            </m:r>
          </m:num>
          <m:den>
            <m:r>
              <m:rPr>
                <m:nor/>
              </m:rPr>
              <w:rPr>
                <w:rFonts w:ascii="Times New Roman" w:hAnsi="Times New Roman"/>
                <w:sz w:val="22"/>
              </w:rPr>
              <m:t xml:space="preserve">4 000</m:t>
            </m:r>
          </m:den>
        </m:f>
        <m:r>
          <m:rPr>
            <m:nor/>
          </m:rPr>
          <w:rPr>
            <w:rFonts w:ascii="Times New Roman" w:hAnsi="Times New Roman"/>
            <w:sz w:val="22"/>
          </w:rPr>
          <m:t xml:space="preserve"> × 100% = 25%</m:t>
        </m:r>
      </m:oMath>
    </w:p>
    <w:p>
      <w:pPr>
        <w:spacing w:after="40"/>
        <w:ind w:firstLine="709"/>
        <w:jc w:val="both"/>
        <w:rPr>
          <w:szCs w:val="24"/>
        </w:rPr>
      </w:pPr>
      <w:r>
        <w:rPr>
          <w:rFonts w:ascii="Times New Roman" w:hAnsi="Times New Roman" w:cs="Times New Roman" w:eastAsia="Times New Roman"/>
          <w:sz w:val="24"/>
          <w:szCs w:val="24"/>
        </w:rPr>
        <w:t>Мақсатты операциялық пайда 8 миллион теңге болса, жабылуы тиіс сома тұрақты шығынмен бірге 20 миллион. Қажетті сату 5 000 дана: 20 миллионды 4 000-ға бөлеміз. Осылайша баға, шығын және жоспарланған нәтиже бір модельде байланысады.</w:t>
      </w:r>
    </w:p>
    <w:p>
      <w:pPr>
        <w:pStyle w:val="1"/>
        <w:spacing w:before="120"/>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Баға мен шығынға сезімталдық</w:t>
      </w:r>
    </w:p>
    <w:p>
      <w:pPr>
        <w:spacing w:after="40"/>
        <w:ind w:firstLine="709"/>
        <w:jc w:val="both"/>
        <w:rPr>
          <w:szCs w:val="24"/>
        </w:rPr>
      </w:pPr>
      <w:r>
        <w:rPr>
          <w:rFonts w:ascii="Times New Roman" w:hAnsi="Times New Roman" w:cs="Times New Roman" w:eastAsia="Times New Roman"/>
          <w:sz w:val="24"/>
          <w:szCs w:val="24"/>
        </w:rPr>
        <w:t>Баға 5%-ға түсіп, 9 500 болса, бірлік маржиналдық табыс 3 500-ге төмендейді. Залалсыздық 3 428,57 дана, ал бүтін өнім сатылғанда кемінде 3 429 дана қажет. Бірлік айнымалы шығын 10%-ға өсіп 6 600 болса, баға өзгермегенде маржа 3 400, залалсыздық 3 529,41 немесе кемінде 3 530 дана болады.</w:t>
      </w:r>
    </w:p>
    <w:p>
      <w:pPr>
        <w:spacing w:after="40"/>
        <w:ind w:firstLine="709"/>
        <w:jc w:val="both"/>
        <w:rPr>
          <w:szCs w:val="24"/>
        </w:rPr>
      </w:pPr>
      <w:r>
        <w:rPr>
          <w:rFonts w:ascii="Times New Roman" w:hAnsi="Times New Roman" w:cs="Times New Roman" w:eastAsia="Times New Roman"/>
          <w:sz w:val="24"/>
          <w:szCs w:val="24"/>
        </w:rPr>
        <w:t>Бұл бағаның шағын төмендеуі қажетті көлемді едәуір өсіретінін көрсетеді. Сату көлемі өздігінен ұлғаяды деп болжауға болмайды: нарық сұранысы мен өндіріс қуаты тексеріледі. Бірлік маржиналдық табыс нөл не теріс болса, осы тұрақты модельде оң көлемдегі сату тұрақты шығынды жаба алмайды.</w:t>
      </w:r>
    </w:p>
    <w:p>
      <w:pPr>
        <w:pStyle w:val="1"/>
        <w:spacing w:before="120"/>
        <w:ind w:firstLine="709"/>
        <w:jc w:val="both"/>
        <w:rPr>
          <w:rFonts w:ascii="Times New Roman" w:hAnsi="Times New Roman" w:cs="Times New Roman"/>
          <w:sz w:val="24"/>
          <w:szCs w:val="24"/>
        </w:rPr>
      </w:pPr>
      <w:r>
        <w:rPr>
          <w:rFonts w:ascii="Times New Roman" w:hAnsi="Times New Roman" w:cs="Times New Roman" w:eastAsia="Times New Roman"/>
          <w:sz w:val="24"/>
          <w:szCs w:val="24"/>
        </w:rPr>
        <w:t>7 Қолдану шарттары</w:t>
      </w:r>
    </w:p>
    <w:p>
      <w:pPr>
        <w:spacing w:after="40"/>
        <w:ind w:firstLine="709"/>
        <w:jc w:val="both"/>
        <w:rPr>
          <w:szCs w:val="24"/>
        </w:rPr>
      </w:pPr>
      <w:r>
        <w:rPr>
          <w:rFonts w:ascii="Times New Roman" w:hAnsi="Times New Roman" w:cs="Times New Roman" w:eastAsia="Times New Roman"/>
          <w:sz w:val="24"/>
          <w:szCs w:val="24"/>
        </w:rPr>
        <w:t>Модель тиісті аралықта баға мен бірлік айнымалы шығын тұрақты, шығындар бөлінген, өндіріс пен сату айырмасы елеусіз деп қабылдайды. Бірнеше өнім болса, өнімдер қоспасының тұрақтылығы маңызды. Қымбат әрі жоғары маржалы өнім үлесі азайса, жалпы сату сомасы өзгермесе де пайда төмендеуі мүмкін.</w:t>
      </w:r>
    </w:p>
    <w:p>
      <w:pPr>
        <w:spacing w:after="40"/>
        <w:ind w:firstLine="709"/>
        <w:jc w:val="both"/>
        <w:rPr>
          <w:szCs w:val="24"/>
        </w:rPr>
      </w:pPr>
      <w:r>
        <w:rPr>
          <w:rFonts w:ascii="Times New Roman" w:hAnsi="Times New Roman" w:cs="Times New Roman" w:eastAsia="Times New Roman"/>
          <w:sz w:val="24"/>
          <w:szCs w:val="24"/>
        </w:rPr>
        <w:t>Сондықтан есеп нәтижесі жорамалмен бірге түсіндіріледі. Сатып алуға жоспарланған жабдық жаңа тұрақты шығын әкелсе, бұрынғы залалсыздық нүктесі қайта есептеледі. Талдау бір рет алынатын өзгермейтін сан емес, шешім шарттары өзгерген сайын жаңартылатын құрал.</w:t>
      </w:r>
    </w:p>
    <w:p>
      <w:pPr>
        <w:pStyle w:val="1"/>
        <w:spacing w:before="120"/>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Маржиналдық табысты таза пайда деп қабылдау.</w:t>
      </w:r>
    </w:p>
    <w:p>
      <w:pPr>
        <w:pStyle w:val="a0"/>
        <w:tabs>
          <w:tab w:val="left" w:pos="1134"/>
        </w:tabs>
        <w:ind w:firstLine="491"/>
        <w:jc w:val="both"/>
        <w:rPr>
          <w:szCs w:val="24"/>
        </w:rPr>
      </w:pPr>
      <w:r>
        <w:rPr>
          <w:rFonts w:ascii="Times New Roman" w:hAnsi="Times New Roman" w:cs="Times New Roman" w:eastAsia="Times New Roman"/>
          <w:sz w:val="24"/>
          <w:szCs w:val="24"/>
        </w:rPr>
        <w:t>Бүтін өнім көлемін төмен қарай дөңгелектеу.</w:t>
      </w:r>
    </w:p>
    <w:p>
      <w:pPr>
        <w:pStyle w:val="a0"/>
        <w:tabs>
          <w:tab w:val="left" w:pos="1134"/>
        </w:tabs>
        <w:ind w:firstLine="491"/>
        <w:jc w:val="both"/>
        <w:rPr>
          <w:szCs w:val="24"/>
        </w:rPr>
      </w:pPr>
      <w:r>
        <w:rPr>
          <w:rFonts w:ascii="Times New Roman" w:hAnsi="Times New Roman" w:cs="Times New Roman" w:eastAsia="Times New Roman"/>
          <w:sz w:val="24"/>
          <w:szCs w:val="24"/>
        </w:rPr>
        <w:t>Бірнеше өнімнің сату қоспасын елемеу.</w:t>
      </w:r>
    </w:p>
    <w:p>
      <w:pPr>
        <w:pStyle w:val="a0"/>
        <w:tabs>
          <w:tab w:val="left" w:pos="1134"/>
        </w:tabs>
        <w:ind w:firstLine="491"/>
        <w:jc w:val="both"/>
        <w:rPr>
          <w:szCs w:val="24"/>
        </w:rPr>
      </w:pPr>
      <w:r>
        <w:rPr>
          <w:rFonts w:ascii="Times New Roman" w:hAnsi="Times New Roman" w:cs="Times New Roman" w:eastAsia="Times New Roman"/>
          <w:sz w:val="24"/>
          <w:szCs w:val="24"/>
        </w:rPr>
        <w:t>Залалсыздықты ақша тапшылығы жоқ жағдаймен теңестіру.</w:t>
      </w:r>
    </w:p>
    <w:p>
      <w:pPr>
        <w:pStyle w:val="1"/>
        <w:spacing w:before="120"/>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40"/>
        <w:ind w:left="170" w:firstLine="709"/>
        <w:jc w:val="both"/>
        <w:rPr>
          <w:szCs w:val="24"/>
        </w:rPr>
      </w:pPr>
      <w:r>
        <w:rPr>
          <w:rFonts w:ascii="Times New Roman" w:hAnsi="Times New Roman" w:cs="Times New Roman" w:eastAsia="Times New Roman"/>
          <w:sz w:val="24"/>
          <w:szCs w:val="24"/>
        </w:rPr>
        <w:t>1. Бірлік тұрақты шығын көлем өскенде қалай өзгереді?</w:t>
      </w:r>
    </w:p>
    <w:p>
      <w:pPr>
        <w:spacing w:after="40"/>
        <w:ind w:left="170" w:firstLine="709"/>
        <w:jc w:val="both"/>
        <w:rPr>
          <w:szCs w:val="24"/>
        </w:rPr>
      </w:pPr>
      <w:r>
        <w:rPr>
          <w:rFonts w:ascii="Times New Roman" w:hAnsi="Times New Roman" w:cs="Times New Roman" w:eastAsia="Times New Roman"/>
          <w:sz w:val="24"/>
          <w:szCs w:val="24"/>
        </w:rPr>
        <w:t>2. Маржиналдық табыс қандай ретпен пайдаланылады?</w:t>
      </w:r>
    </w:p>
    <w:p>
      <w:pPr>
        <w:spacing w:after="40"/>
        <w:ind w:left="170" w:firstLine="709"/>
        <w:jc w:val="both"/>
        <w:rPr>
          <w:szCs w:val="24"/>
        </w:rPr>
      </w:pPr>
      <w:r>
        <w:rPr>
          <w:rFonts w:ascii="Times New Roman" w:hAnsi="Times New Roman" w:cs="Times New Roman" w:eastAsia="Times New Roman"/>
          <w:sz w:val="24"/>
          <w:szCs w:val="24"/>
        </w:rPr>
        <w:t>3. Қауіпсіздік қорының экономикалық мағынасы қандай?</w:t>
      </w:r>
    </w:p>
    <w:p>
      <w:pPr>
        <w:spacing w:after="40"/>
        <w:ind w:left="170" w:firstLine="709"/>
        <w:jc w:val="both"/>
        <w:rPr>
          <w:szCs w:val="24"/>
        </w:rPr>
      </w:pPr>
      <w:r>
        <w:rPr>
          <w:rFonts w:ascii="Times New Roman" w:hAnsi="Times New Roman" w:cs="Times New Roman" w:eastAsia="Times New Roman"/>
          <w:sz w:val="24"/>
          <w:szCs w:val="24"/>
        </w:rPr>
        <w:t>4. Баға азайса, залалсыздық неге өсуі мүмкін?</w:t>
      </w:r>
    </w:p>
    <w:p>
      <w:pPr>
        <w:spacing w:after="40"/>
        <w:ind w:left="170" w:firstLine="709"/>
        <w:jc w:val="both"/>
        <w:rPr>
          <w:szCs w:val="24"/>
        </w:rPr>
      </w:pPr>
      <w:r>
        <w:rPr>
          <w:rFonts w:ascii="Times New Roman" w:hAnsi="Times New Roman" w:cs="Times New Roman" w:eastAsia="Times New Roman"/>
          <w:sz w:val="24"/>
          <w:szCs w:val="24"/>
        </w:rPr>
        <w:t>5. Модельдің қандай жорамалдары тексерілуі керек?</w:t>
      </w:r>
    </w:p>
    <w:p>
      <w:pPr>
        <w:pStyle w:val="1"/>
        <w:spacing w:before="120"/>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spacing w:after="40"/>
        <w:ind w:firstLine="709"/>
        <w:jc w:val="both"/>
        <w:rPr>
          <w:szCs w:val="24"/>
        </w:rPr>
      </w:pPr>
      <w:r>
        <w:rPr>
          <w:rFonts w:ascii="Times New Roman" w:hAnsi="Times New Roman" w:cs="Times New Roman" w:eastAsia="Times New Roman"/>
          <w:sz w:val="24"/>
          <w:szCs w:val="24"/>
        </w:rPr>
        <w:t>Баға 8 000, бірлік айнымалы шығын 5 000, тұрақты шығын 9 миллион теңге болса, залалсыздық 3 000 дана, түсім 24 миллион теңге. 4 000 дана сатылғанда операциялық пайда 3 миллион теңге болады.</w:t>
      </w:r>
    </w:p>
    <w:p>
      <w:pPr>
        <w:pStyle w:val="1"/>
        <w:spacing w:before="120"/>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0" w:line="240" w:lineRule="auto"/>
        <w:ind w:firstLine="709"/>
        <w:jc w:val="both"/>
        <w:rPr>
          <w:szCs w:val="24"/>
        </w:rPr>
      </w:pPr>
      <w:r>
        <w:rPr>
          <w:rFonts w:ascii="Times New Roman" w:hAnsi="Times New Roman" w:cs="Times New Roman" w:eastAsia="Times New Roman"/>
          <w:sz w:val="24"/>
          <w:szCs w:val="24"/>
        </w:rPr>
        <w:t>[Ә6] Техника финансового анализа в контексте антикризисного управления предприятием: Учебное пособие/ О.В.Куур, Р.А. Костырко. - Усть-Каменогорск, ВКГТУ, 2019. – 170 с.</w:t>
      </w:r>
    </w:p>
    <w:p>
      <w:pPr>
        <w:spacing w:after="0" w:line="240" w:lineRule="auto"/>
        <w:ind w:firstLine="709"/>
        <w:jc w:val="both"/>
        <w:rPr>
          <w:szCs w:val="24"/>
        </w:rPr>
      </w:pPr>
      <w:r>
        <w:rPr>
          <w:rFonts w:ascii="Times New Roman" w:hAnsi="Times New Roman" w:cs="Times New Roman" w:eastAsia="Times New Roman"/>
          <w:sz w:val="24"/>
          <w:szCs w:val="24"/>
        </w:rPr>
        <w:t xml:space="preserve">[Ә8] Федотова, Е. С. Финансовый анализ : учебно-методическое пособие / Е. С. Федотова, О. Е. Ваганова. — Саратов : Саратовский государственный технический университет имени Ю.А. Гагарина, ЭБС АСВ, 2024. — 187 c. — ISBN 978-5-7433-3508-4.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spacing w:after="0" w:line="240" w:lineRule="auto"/>
        <w:ind w:firstLine="709"/>
        <w:jc w:val="both"/>
        <w:rPr>
          <w:szCs w:val="24"/>
        </w:rPr>
      </w:pPr>
      <w:r>
        <w:rPr>
          <w:rFonts w:ascii="Times New Roman" w:hAnsi="Times New Roman" w:cs="Times New Roman" w:eastAsia="Times New Roman"/>
          <w:sz w:val="24"/>
          <w:szCs w:val="24"/>
        </w:rPr>
        <w:t xml:space="preserve">[Ә9] Ваганова, О. Е. Финансовый анализ : учебно-методическое пособие (Сборник заданий к практическим занятиям) / О. Е. Ваганова, Е. С. Федотова. — Саратов : Саратовский государственный технический университет имени Ю.А. Гагарина, ЭБС АСВ, 2023. — 176 c. — ISBN 978-5-7433-3545-9. — Текст : электронный // Цифровой образовательный ресурс IPR SMART : [сайт]. </w:t>
      </w:r>
      <w:hyperlink r:id="rId15">
        <w:r>
          <w:rPr>
            <w:rFonts w:ascii="Times New Roman" w:hAnsi="Times New Roman" w:cs="Times New Roman" w:eastAsia="Times New Roman"/>
            <w:u w:val="single"/>
            <w:color w:val="000000"/>
            <w:sz w:val="24"/>
            <w:szCs w:val="24"/>
          </w:rPr>
          <w:t>Электрондық каталог</w:t>
        </w:r>
      </w:hyperlink>
    </w:p>
    <w:p>
      <w:pPr>
        <w:spacing w:after="0" w:line="240" w:lineRule="auto"/>
        <w:ind w:firstLine="709"/>
        <w:jc w:val="both"/>
        <w:rPr>
          <w:szCs w:val="24"/>
        </w:rPr>
      </w:pPr>
      <w:r>
        <w:rPr>
          <w:rFonts w:ascii="Times New Roman" w:hAnsi="Times New Roman" w:cs="Times New Roman" w:eastAsia="Times New Roman"/>
          <w:sz w:val="24"/>
          <w:szCs w:val="24"/>
        </w:rPr>
        <w:t>[Ә12] Ковалев В.В. Введение в финансовый менеджмент. - М.: Финансы и статистика, 2016. – 763 с.</w:t>
      </w:r>
    </w:p>
    <w:p>
      <w:pPr>
        <w:spacing w:after="0" w:line="240" w:lineRule="auto"/>
        <w:ind w:firstLine="709"/>
        <w:jc w:val="both"/>
        <w:rPr>
          <w:szCs w:val="24"/>
        </w:rPr>
      </w:pPr>
      <w:r>
        <w:rPr>
          <w:rFonts w:ascii="Times New Roman" w:hAnsi="Times New Roman" w:cs="Times New Roman" w:eastAsia="Times New Roman"/>
          <w:sz w:val="24"/>
          <w:szCs w:val="24"/>
        </w:rPr>
        <w:t>[Ә13] Савицкая Г.В. Анализ хозяйственной деятельности предприятия. - М.: Инфра-М, 2010. - 536 с.</w:t>
      </w:r>
    </w:p>
    <w:p>
      <w:pPr>
        <w:spacing w:after="0" w:line="240" w:lineRule="auto"/>
        <w:ind w:firstLine="709"/>
        <w:jc w:val="both"/>
        <w:rPr>
          <w:szCs w:val="24"/>
        </w:rPr>
      </w:pPr>
      <w:r>
        <w:rPr>
          <w:rFonts w:ascii="Times New Roman" w:hAnsi="Times New Roman" w:cs="Times New Roman" w:eastAsia="Times New Roman"/>
          <w:sz w:val="24"/>
          <w:szCs w:val="24"/>
        </w:rPr>
        <w:t>[Ә17] Костырко Р.А., Куур О.В. Финансовый анализ: теория и практика в контексте МСФО: Учебное пособие.- Усть-Каменогорск, ВКГТУ, 2011.- 180 с.</w:t>
      </w:r>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7709.html" TargetMode="External"/><Relationship Id="rId15" Type="http://schemas.openxmlformats.org/officeDocument/2006/relationships/hyperlink" Target="https://www.iprbookshop.ru/1380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Залалсыздықты талдау</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