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18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Кәсіпорынның нарықтық белсенділігін талдау</w:t>
      </w:r>
    </w:p>
    <w:p>
      <w:pPr>
        <w:spacing w:after="80"/>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Бір акцияға келетін нәтиже мен нарықтық бағалау көрсеткіштерін есептеу, олардың экономикалық мағынасын және қолданылу шекарасын түсіндіру.</w:t>
      </w:r>
    </w:p>
    <w:p>
      <w:pPr>
        <w:spacing w:after="80"/>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Нарықтық белсенділік нені білдіреді; Базалық EPS және акция саны; P/E және пайда күтуі; Баланстық құн және P/B; Дивиденд көрсеткіштері; Салыстырудың дұрыс базасы; Нәтижені тұтас түсіндіру.</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Нарықтық белсенділік нені білдіреді</w:t>
      </w:r>
    </w:p>
    <w:p>
      <w:pPr>
        <w:spacing w:after="80"/>
        <w:ind w:firstLine="709"/>
        <w:jc w:val="both"/>
        <w:rPr>
          <w:szCs w:val="24"/>
        </w:rPr>
      </w:pPr>
      <w:r>
        <w:rPr>
          <w:rFonts w:ascii="Times New Roman" w:hAnsi="Times New Roman" w:cs="Times New Roman" w:eastAsia="Times New Roman"/>
          <w:sz w:val="24"/>
          <w:szCs w:val="24"/>
        </w:rPr>
        <w:t>Қаржылық талдауда нарықтық белсенділік көбіне ұйым акцияларының бағасы, бір акцияға пайдасы, дивиденді және нарықтық бағалауы арқылы қарастырылады. Бұл маркетингтегі нарық үлесі немесе жарнама белсенділігімен бірдей ұғым емес. Сатудың өсуі туралы дерек акция бағасының негізділігін толық түсіндірмейді.</w:t>
      </w:r>
    </w:p>
    <w:p>
      <w:pPr>
        <w:spacing w:after="80"/>
        <w:ind w:firstLine="709"/>
        <w:jc w:val="both"/>
        <w:rPr>
          <w:szCs w:val="24"/>
        </w:rPr>
      </w:pPr>
      <w:r>
        <w:rPr>
          <w:rFonts w:ascii="Times New Roman" w:hAnsi="Times New Roman" w:cs="Times New Roman" w:eastAsia="Times New Roman"/>
          <w:sz w:val="24"/>
          <w:szCs w:val="24"/>
        </w:rPr>
        <w:t>Бағалы қағаздары саудаланбайтын ұйым үшін сенімді нарық бағасы болмауы мүмкін. Онда P/E немесе P/B көрсеткішін есептеу үшін ойдан акция бағасын енгізуге болмайды. Болжамды бағалау жасалса, ол биржалық нақты бағадан бөлек көрсетіледі.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Базалық EPS және акция саны</w:t>
      </w:r>
    </w:p>
    <w:p>
      <w:pPr>
        <w:spacing w:after="80"/>
        <w:ind w:firstLine="709"/>
        <w:jc w:val="both"/>
        <w:rPr>
          <w:szCs w:val="24"/>
        </w:rPr>
      </w:pPr>
      <w:r>
        <w:rPr>
          <w:rFonts w:ascii="Times New Roman" w:hAnsi="Times New Roman" w:cs="Times New Roman" w:eastAsia="Times New Roman"/>
          <w:sz w:val="24"/>
          <w:szCs w:val="24"/>
        </w:rPr>
        <w:t>Базалық EPS жай акция иелеріне тиесілі пайда мен айналымдағы жай акциялардың орташа өлшенген санына негізделеді. Артықшылықты акциялар, өз акциялары, кезең ішіндегі эмиссия және ықтимал сұйылту нәтижеге әсер етуі мүмкін. IAS 33 осы есептеулер мен ұсыну талаптарын белгілейді. [Н11]</w:t>
      </w:r>
    </w:p>
    <w:p>
      <w:pPr>
        <w:spacing w:after="80"/>
        <w:ind w:firstLine="709"/>
        <w:jc w:val="both"/>
        <w:rPr>
          <w:szCs w:val="24"/>
        </w:rPr>
      </w:pPr>
      <w:r>
        <w:rPr>
          <w:rFonts w:ascii="Times New Roman" w:hAnsi="Times New Roman" w:cs="Times New Roman" w:eastAsia="Times New Roman"/>
          <w:sz w:val="24"/>
          <w:szCs w:val="24"/>
        </w:rPr>
        <w:t>Шартты акционерлік қоғамның барлық пайдасы жай акция иелеріне тиесілі, артықшылықты және ықтимал жай акциялары жоқ делік. Пайда 350 мың теңге, орташа саны 100 мың акция. EPS 3,50 теңге. «Мың теңгені» «мың акцияға» бөлгенде бір акцияға теңге шығады; өлшем бірлігін шатастырмау қажет.</w:t>
      </w:r>
    </w:p>
    <w:p>
      <w:pPr>
        <w:spacing w:after="80"/>
        <w:ind w:firstLine="709"/>
        <w:jc w:val="both"/>
        <w:rPr>
          <w:szCs w:val="24"/>
        </w:rPr>
        <w:keepNext/>
      </w:pPr>
      <w:r>
        <w:rPr>
          <w:rFonts w:ascii="Times New Roman" w:hAnsi="Times New Roman" w:cs="Times New Roman" w:eastAsia="Times New Roman"/>
          <w:b/>
          <w:sz w:val="24"/>
          <w:szCs w:val="24"/>
        </w:rPr>
        <w:t>EPS</w:t>
      </w:r>
    </w:p>
    <w:p>
      <w:pPr>
        <w:spacing w:after="80"/>
        <w:ind w:firstLine="709"/>
        <w:jc w:val="both"/>
        <w:rPr>
          <w:szCs w:val="24"/>
        </w:rPr>
      </w:pPr>
      <m:oMath>
        <m:f>
          <m:num>
            <m:r>
              <m:rPr>
                <m:nor/>
              </m:rPr>
              <w:rPr>
                <w:rFonts w:ascii="Times New Roman" w:hAnsi="Times New Roman"/>
                <w:sz w:val="22"/>
              </w:rPr>
              <m:t xml:space="preserve">350 мың теңге</m:t>
            </m:r>
          </m:num>
          <m:den>
            <m:r>
              <m:rPr>
                <m:nor/>
              </m:rPr>
              <w:rPr>
                <w:rFonts w:ascii="Times New Roman" w:hAnsi="Times New Roman"/>
                <w:sz w:val="22"/>
              </w:rPr>
              <m:t xml:space="preserve">100 мың акция</m:t>
            </m:r>
          </m:den>
        </m:f>
        <m:r>
          <m:rPr>
            <m:nor/>
          </m:rPr>
          <w:rPr>
            <w:rFonts w:ascii="Times New Roman" w:hAnsi="Times New Roman"/>
            <w:sz w:val="22"/>
          </w:rPr>
          <m:t xml:space="preserve"> = 3,50 теңге</m:t>
        </m:r>
      </m:oMath>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P/E және пайда күтуі</w:t>
      </w:r>
    </w:p>
    <w:p>
      <w:pPr>
        <w:spacing w:after="80"/>
        <w:ind w:firstLine="709"/>
        <w:jc w:val="both"/>
        <w:rPr>
          <w:szCs w:val="24"/>
        </w:rPr>
      </w:pPr>
      <w:r>
        <w:rPr>
          <w:rFonts w:ascii="Times New Roman" w:hAnsi="Times New Roman" w:cs="Times New Roman" w:eastAsia="Times New Roman"/>
          <w:sz w:val="24"/>
          <w:szCs w:val="24"/>
        </w:rPr>
        <w:t>P/E акцияның нарық бағасын бір акцияға пайдаға бөледі. Баға 35 теңге болса, P/E 10 есе. Ол нарықтың бір теңге жылдық пайда үшін қанша төлеуге дайын екенін сипаттайды. Бұл «салым дәл он жылда қайтады» деген кепілдендірілген мерзім емес: пайда, баға және дивиденд өзгеруі мүмкін.</w:t>
      </w:r>
    </w:p>
    <w:p>
      <w:pPr>
        <w:spacing w:after="80"/>
        <w:ind w:firstLine="709"/>
        <w:jc w:val="both"/>
        <w:rPr>
          <w:szCs w:val="24"/>
        </w:rPr>
        <w:keepNext/>
      </w:pPr>
      <w:r>
        <w:rPr>
          <w:rFonts w:ascii="Times New Roman" w:hAnsi="Times New Roman" w:cs="Times New Roman" w:eastAsia="Times New Roman"/>
          <w:b/>
          <w:sz w:val="24"/>
          <w:szCs w:val="24"/>
        </w:rPr>
        <w:t>P/E</w:t>
      </w:r>
    </w:p>
    <w:p>
      <w:pPr>
        <w:spacing w:after="80"/>
        <w:ind w:firstLine="709"/>
        <w:jc w:val="both"/>
        <w:rPr>
          <w:szCs w:val="24"/>
        </w:rPr>
      </w:pPr>
      <m:oMath>
        <m:f>
          <m:num>
            <m:r>
              <m:rPr>
                <m:nor/>
              </m:rPr>
              <w:rPr>
                <w:rFonts w:ascii="Times New Roman" w:hAnsi="Times New Roman"/>
                <w:sz w:val="22"/>
              </w:rPr>
              <m:t xml:space="preserve">35</m:t>
            </m:r>
          </m:num>
          <m:den>
            <m:r>
              <m:rPr>
                <m:nor/>
              </m:rPr>
              <w:rPr>
                <w:rFonts w:ascii="Times New Roman" w:hAnsi="Times New Roman"/>
                <w:sz w:val="22"/>
              </w:rPr>
              <m:t xml:space="preserve">3,50</m:t>
            </m:r>
          </m:den>
        </m:f>
        <m:r>
          <m:rPr>
            <m:nor/>
          </m:rPr>
          <w:rPr>
            <w:rFonts w:ascii="Times New Roman" w:hAnsi="Times New Roman"/>
            <w:sz w:val="22"/>
          </w:rPr>
          <m:t xml:space="preserve"> = 10 есе</m:t>
        </m:r>
      </m:oMath>
    </w:p>
    <w:p>
      <w:pPr>
        <w:spacing w:after="80"/>
        <w:ind w:firstLine="709"/>
        <w:jc w:val="both"/>
        <w:rPr>
          <w:szCs w:val="24"/>
        </w:rPr>
      </w:pPr>
      <w:r>
        <w:rPr>
          <w:rFonts w:ascii="Times New Roman" w:hAnsi="Times New Roman" w:cs="Times New Roman" w:eastAsia="Times New Roman"/>
          <w:sz w:val="24"/>
          <w:szCs w:val="24"/>
        </w:rPr>
        <w:t>Жоғары P/E өсу күтуін де, бағаның тым жоғары болуын да көрсетуі мүмкін. Төмен P/E арзан бағалаумен қатар тәуекел немесе болашақ пайда төмендейді деген күтуді білдіруі ықтимал. Залал жағдайында теріс P/E әдеттегі түсіндіруге қолайсыз; оны оң коэффициентпен жай салыстырмаймыз. Соңғы нақты пайдаға және болашақ болжамды пайдаға есептелген P/E де араластырылмайды.</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Баланстық құн және P/B</w:t>
      </w:r>
    </w:p>
    <w:p>
      <w:pPr>
        <w:spacing w:after="80"/>
        <w:ind w:firstLine="709"/>
        <w:jc w:val="both"/>
        <w:rPr>
          <w:szCs w:val="24"/>
        </w:rPr>
      </w:pPr>
      <w:r>
        <w:rPr>
          <w:rFonts w:ascii="Times New Roman" w:hAnsi="Times New Roman" w:cs="Times New Roman" w:eastAsia="Times New Roman"/>
          <w:sz w:val="24"/>
          <w:szCs w:val="24"/>
        </w:rPr>
        <w:t>Бір акцияның баланстық құны жай акция иелеріне тиесілі капиталды тиісті айналымдағы акция санына бөлумен табылады. Мысалда есепті күндегі акция саны да 100 мың дана, капитал 1 350 мың теңге. Бір акцияға баланстық құн 13,50 теңге, P/B шамамен 2,59 есе.</w:t>
      </w:r>
    </w:p>
    <w:p>
      <w:pPr>
        <w:spacing w:after="80"/>
        <w:ind w:firstLine="709"/>
        <w:jc w:val="both"/>
        <w:rPr>
          <w:szCs w:val="24"/>
        </w:rPr>
      </w:pPr>
      <m:oMath>
        <m:r>
          <m:rPr>
            <m:nor/>
          </m:rPr>
          <w:rPr>
            <w:rFonts w:ascii="Times New Roman" w:hAnsi="Times New Roman"/>
            <w:sz w:val="22"/>
          </w:rPr>
          <m:t xml:space="preserve">Бір акцияның баланстық құны = 1 350 ÷ 100 = 13,50 теңге</m:t>
        </m:r>
      </m:oMath>
    </w:p>
    <w:p>
      <w:pPr>
        <w:spacing w:after="80"/>
        <w:ind w:firstLine="709"/>
        <w:jc w:val="both"/>
        <w:rPr>
          <w:szCs w:val="24"/>
        </w:rPr>
        <w:keepNext/>
      </w:pPr>
      <w:r>
        <w:rPr>
          <w:rFonts w:ascii="Times New Roman" w:hAnsi="Times New Roman" w:cs="Times New Roman" w:eastAsia="Times New Roman"/>
          <w:b/>
          <w:sz w:val="24"/>
          <w:szCs w:val="24"/>
        </w:rPr>
        <w:t>P/B</w:t>
      </w:r>
    </w:p>
    <w:p>
      <w:pPr>
        <w:spacing w:after="80"/>
        <w:ind w:firstLine="709"/>
        <w:jc w:val="both"/>
        <w:rPr>
          <w:szCs w:val="24"/>
        </w:rPr>
      </w:pPr>
      <m:oMath>
        <m:f>
          <m:num>
            <m:r>
              <m:rPr>
                <m:nor/>
              </m:rPr>
              <w:rPr>
                <w:rFonts w:ascii="Times New Roman" w:hAnsi="Times New Roman"/>
                <w:sz w:val="22"/>
              </w:rPr>
              <m:t xml:space="preserve">35</m:t>
            </m:r>
          </m:num>
          <m:den>
            <m:r>
              <m:rPr>
                <m:nor/>
              </m:rPr>
              <w:rPr>
                <w:rFonts w:ascii="Times New Roman" w:hAnsi="Times New Roman"/>
                <w:sz w:val="22"/>
              </w:rPr>
              <m:t xml:space="preserve">13,50</m:t>
            </m:r>
          </m:den>
        </m:f>
        <m:r>
          <m:rPr>
            <m:nor/>
          </m:rPr>
          <w:rPr>
            <w:rFonts w:ascii="Times New Roman" w:hAnsi="Times New Roman"/>
            <w:sz w:val="22"/>
          </w:rPr>
          <m:t xml:space="preserve"> = 2,59 есе</m:t>
        </m:r>
      </m:oMath>
    </w:p>
    <w:p>
      <w:pPr>
        <w:spacing w:after="80"/>
        <w:ind w:firstLine="709"/>
        <w:jc w:val="both"/>
        <w:rPr>
          <w:szCs w:val="24"/>
        </w:rPr>
      </w:pPr>
      <w:r>
        <w:rPr>
          <w:rFonts w:ascii="Times New Roman" w:hAnsi="Times New Roman" w:cs="Times New Roman" w:eastAsia="Times New Roman"/>
          <w:sz w:val="24"/>
          <w:szCs w:val="24"/>
        </w:rPr>
        <w:t>P/B ұйымның баланстық капиталын нарық қалай бағалайтынын көрсетеді. Бірақ капиталда танылмаған бедел, бренд немесе технология болуы мүмкін; активтер бағалау саясатына да тәуелді. Сондықтан P/B 1-ден жоғары болғаны міндетті түрде қымбат баға дегенді білдірмейді. Теріс капитал жағдайында көрсеткіштің мағынасы айтарлықтай шектеледі.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Дивиденд көрсеткіштері</w:t>
      </w:r>
    </w:p>
    <w:p>
      <w:pPr>
        <w:spacing w:after="80"/>
        <w:ind w:firstLine="709"/>
        <w:jc w:val="both"/>
        <w:rPr>
          <w:szCs w:val="24"/>
        </w:rPr>
      </w:pPr>
      <w:r>
        <w:rPr>
          <w:rFonts w:ascii="Times New Roman" w:hAnsi="Times New Roman" w:cs="Times New Roman" w:eastAsia="Times New Roman"/>
          <w:sz w:val="24"/>
          <w:szCs w:val="24"/>
        </w:rPr>
        <w:t>Дивидендтік табыстылық бір акцияға төленетін дивидендті нарық бағасымен салыстырады. Төлем үлесі дивидендтің пайдадағы үлесін сипаттайды. Екеуінің алымы ұқсас болғанымен, бөлімдері әртүрлі, сондықтан оларды алмастыруға болмайды.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Көрсеткіш</w:t>
            </w:r>
          </w:p>
        </w:tc>
        <w:tc>
          <w:tcPr>
            <w:tcW w:type="dxa" w:w="3219"/>
            <w:vAlign w:val="center"/>
            <w:shd w:fill="E9EEF4"/>
          </w:tcPr>
          <w:p>
            <w:pPr>
              <w:spacing w:line="252" w:lineRule="auto" w:after="20"/>
            </w:pPr>
            <w:r>
              <w:rPr>
                <w:rFonts w:ascii="Times New Roman" w:hAnsi="Times New Roman" w:cs="Times New Roman" w:eastAsia="Times New Roman"/>
                <w:b/>
                <w:sz w:val="24"/>
                <w:szCs w:val="24"/>
              </w:rPr>
              <w:t>Есептеу</w:t>
            </w:r>
          </w:p>
        </w:tc>
        <w:tc>
          <w:tcPr>
            <w:tcW w:type="dxa" w:w="3219"/>
            <w:vAlign w:val="center"/>
            <w:shd w:fill="E9EEF4"/>
          </w:tcPr>
          <w:p>
            <w:pPr>
              <w:spacing w:line="252" w:lineRule="auto" w:after="20"/>
            </w:pPr>
            <w:r>
              <w:rPr>
                <w:rFonts w:ascii="Times New Roman" w:hAnsi="Times New Roman" w:cs="Times New Roman" w:eastAsia="Times New Roman"/>
                <w:b/>
                <w:sz w:val="24"/>
                <w:szCs w:val="24"/>
              </w:rPr>
              <w:t>Нәтиже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Бір акцияға дивиденд</w:t>
            </w:r>
          </w:p>
        </w:tc>
        <w:tc>
          <w:tcPr>
            <w:tcW w:type="dxa" w:w="3219"/>
            <w:vAlign w:val="center"/>
          </w:tcPr>
          <w:p>
            <w:pPr>
              <w:spacing w:line="252" w:lineRule="auto" w:after="20"/>
              <w:jc w:val="center"/>
            </w:pPr>
            <w:r>
              <w:rPr>
                <w:rFonts w:ascii="Times New Roman" w:hAnsi="Times New Roman" w:cs="Times New Roman" w:eastAsia="Times New Roman"/>
                <w:sz w:val="24"/>
                <w:szCs w:val="24"/>
              </w:rPr>
              <w:t>120 мың / 100 мың</w:t>
            </w:r>
          </w:p>
        </w:tc>
        <w:tc>
          <w:tcPr>
            <w:tcW w:type="dxa" w:w="3219"/>
            <w:vAlign w:val="center"/>
          </w:tcPr>
          <w:p>
            <w:pPr>
              <w:spacing w:line="252" w:lineRule="auto" w:after="20"/>
              <w:jc w:val="center"/>
            </w:pPr>
            <w:r>
              <w:rPr>
                <w:rFonts w:ascii="Times New Roman" w:hAnsi="Times New Roman" w:cs="Times New Roman" w:eastAsia="Times New Roman"/>
                <w:sz w:val="24"/>
                <w:szCs w:val="24"/>
              </w:rPr>
              <w:t>1,20 теңге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Дивидендтік табыстылық</w:t>
            </w:r>
          </w:p>
        </w:tc>
        <w:tc>
          <w:tcPr>
            <w:tcW w:type="dxa" w:w="3219"/>
            <w:vAlign w:val="center"/>
          </w:tcPr>
          <w:p>
            <w:pPr>
              <w:spacing w:line="252" w:lineRule="auto" w:after="20"/>
              <w:jc w:val="center"/>
            </w:pPr>
            <w:r>
              <w:rPr>
                <w:rFonts w:ascii="Times New Roman" w:hAnsi="Times New Roman" w:cs="Times New Roman" w:eastAsia="Times New Roman"/>
                <w:sz w:val="24"/>
                <w:szCs w:val="24"/>
              </w:rPr>
              <w:t>1,20 / 35 × 100%</w:t>
            </w:r>
          </w:p>
        </w:tc>
        <w:tc>
          <w:tcPr>
            <w:tcW w:type="dxa" w:w="3219"/>
            <w:vAlign w:val="center"/>
          </w:tcPr>
          <w:p>
            <w:pPr>
              <w:spacing w:line="252" w:lineRule="auto" w:after="20"/>
              <w:jc w:val="center"/>
            </w:pPr>
            <w:r>
              <w:rPr>
                <w:rFonts w:ascii="Times New Roman" w:hAnsi="Times New Roman" w:cs="Times New Roman" w:eastAsia="Times New Roman"/>
                <w:sz w:val="24"/>
                <w:szCs w:val="24"/>
              </w:rPr>
              <w:t>3,43%</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Пайдадан дивиденд төлеу үлесі</w:t>
            </w:r>
          </w:p>
        </w:tc>
        <w:tc>
          <w:tcPr>
            <w:tcW w:type="dxa" w:w="3219"/>
            <w:vAlign w:val="center"/>
          </w:tcPr>
          <w:p>
            <w:pPr>
              <w:spacing w:line="252" w:lineRule="auto" w:after="20"/>
              <w:jc w:val="center"/>
            </w:pPr>
            <w:r>
              <w:rPr>
                <w:rFonts w:ascii="Times New Roman" w:hAnsi="Times New Roman" w:cs="Times New Roman" w:eastAsia="Times New Roman"/>
                <w:sz w:val="24"/>
                <w:szCs w:val="24"/>
              </w:rPr>
              <w:t>120 / 350 × 100%</w:t>
            </w:r>
          </w:p>
        </w:tc>
        <w:tc>
          <w:tcPr>
            <w:tcW w:type="dxa" w:w="3219"/>
            <w:vAlign w:val="center"/>
          </w:tcPr>
          <w:p>
            <w:pPr>
              <w:spacing w:line="252" w:lineRule="auto" w:after="20"/>
              <w:jc w:val="center"/>
            </w:pPr>
            <w:r>
              <w:rPr>
                <w:rFonts w:ascii="Times New Roman" w:hAnsi="Times New Roman" w:cs="Times New Roman" w:eastAsia="Times New Roman"/>
                <w:sz w:val="24"/>
                <w:szCs w:val="24"/>
              </w:rPr>
              <w:t>34,29%</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Нарықтық капиталдану</w:t>
            </w:r>
          </w:p>
        </w:tc>
        <w:tc>
          <w:tcPr>
            <w:tcW w:type="dxa" w:w="3219"/>
            <w:vAlign w:val="center"/>
          </w:tcPr>
          <w:p>
            <w:pPr>
              <w:spacing w:line="252" w:lineRule="auto" w:after="20"/>
              <w:jc w:val="center"/>
            </w:pPr>
            <w:r>
              <w:rPr>
                <w:rFonts w:ascii="Times New Roman" w:hAnsi="Times New Roman" w:cs="Times New Roman" w:eastAsia="Times New Roman"/>
                <w:sz w:val="24"/>
                <w:szCs w:val="24"/>
              </w:rPr>
              <w:t>35 × 100 мың</w:t>
            </w:r>
          </w:p>
        </w:tc>
        <w:tc>
          <w:tcPr>
            <w:tcW w:type="dxa" w:w="3219"/>
            <w:vAlign w:val="center"/>
          </w:tcPr>
          <w:p>
            <w:pPr>
              <w:spacing w:line="252" w:lineRule="auto" w:after="20"/>
              <w:jc w:val="center"/>
            </w:pPr>
            <w:r>
              <w:rPr>
                <w:rFonts w:ascii="Times New Roman" w:hAnsi="Times New Roman" w:cs="Times New Roman" w:eastAsia="Times New Roman"/>
                <w:sz w:val="24"/>
                <w:szCs w:val="24"/>
              </w:rPr>
              <w:t>3 500 мың теңге</w:t>
            </w:r>
          </w:p>
        </w:tc>
      </w:tr>
    </w:tbl>
    <w:p>
      <w:pPr>
        <w:spacing w:after="80"/>
        <w:ind w:firstLine="709"/>
        <w:jc w:val="both"/>
        <w:rPr>
          <w:szCs w:val="24"/>
        </w:rPr>
      </w:pPr>
    </w:p>
    <w:p>
      <w:pPr>
        <w:spacing w:after="80"/>
        <w:ind w:firstLine="709"/>
        <w:jc w:val="both"/>
        <w:rPr>
          <w:szCs w:val="24"/>
        </w:rPr>
      </w:pPr>
      <w:r>
        <w:rPr>
          <w:rFonts w:ascii="Times New Roman" w:hAnsi="Times New Roman" w:cs="Times New Roman" w:eastAsia="Times New Roman"/>
          <w:sz w:val="24"/>
          <w:szCs w:val="24"/>
        </w:rPr>
        <w:t>Жоғары дивидендтік табыстылық акция бағасының төмендеуінен де пайда болады. Пайдадан жоғары дивиденд бұрын жиналған резерв немесе қарыз есебінен төленуі мүмкін. Оның тұрақтылығын ақша ағыны, инвестициялық жоспар және капитал талаптарымен бірге бағалау қажет.</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Салыстырудың дұрыс базасы</w:t>
      </w:r>
    </w:p>
    <w:p>
      <w:pPr>
        <w:spacing w:after="80"/>
        <w:ind w:firstLine="709"/>
        <w:jc w:val="both"/>
        <w:rPr>
          <w:szCs w:val="24"/>
        </w:rPr>
      </w:pPr>
      <w:r>
        <w:rPr>
          <w:rFonts w:ascii="Times New Roman" w:hAnsi="Times New Roman" w:cs="Times New Roman" w:eastAsia="Times New Roman"/>
          <w:sz w:val="24"/>
          <w:szCs w:val="24"/>
        </w:rPr>
        <w:t>Бір саладағы ұйымдарды, бірдей баға күні мен салыстырылатын кезеңдегі пайданы пайдалану қажет. Акция бөлшектелсе, өткен кезеңдегі акцияға шаққандағы көрсеткіштерді тиісті түзету мәселесі тексеріледі. Нарық бағасы нақты күнге, ал EPS белгілі кезеңге қатысты екенін ұмытпау керек.</w:t>
      </w:r>
    </w:p>
    <w:p>
      <w:pPr>
        <w:spacing w:after="80"/>
        <w:ind w:firstLine="709"/>
        <w:jc w:val="both"/>
        <w:rPr>
          <w:szCs w:val="24"/>
        </w:rPr>
      </w:pPr>
      <w:r>
        <w:rPr>
          <w:rFonts w:ascii="Times New Roman" w:hAnsi="Times New Roman" w:cs="Times New Roman" w:eastAsia="Times New Roman"/>
          <w:sz w:val="24"/>
          <w:szCs w:val="24"/>
        </w:rPr>
        <w:t>Өсіп келе жатқан компания дивиденд төлемей, пайданы жобаға салуы мүмкін. Бұл өзі теріс белгі емес. Бағалау үшін жобаның тиімділігі, қаржыландыру қажеттілігі және тәуекел қаралады. Көрсеткіштер дайын сатып алу не сату бұйрығын бермейді; олар нарық күтуін зерттеуге арналған құралдар.</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7 Нәтижені тұтас түсіндіру</w:t>
      </w:r>
    </w:p>
    <w:p>
      <w:pPr>
        <w:spacing w:after="80"/>
        <w:ind w:firstLine="709"/>
        <w:jc w:val="both"/>
        <w:rPr>
          <w:szCs w:val="24"/>
        </w:rPr>
      </w:pPr>
      <w:r>
        <w:rPr>
          <w:rFonts w:ascii="Times New Roman" w:hAnsi="Times New Roman" w:cs="Times New Roman" w:eastAsia="Times New Roman"/>
          <w:sz w:val="24"/>
          <w:szCs w:val="24"/>
        </w:rPr>
        <w:t>Мысалдағы EPS 3,50, P/E 10, P/B 2,59 және дивидендтік табыстылық 3,43%. Бұл төрт сан бірдей құбылысты өлшемейді. EPS есептік нәтижені, P/E нәтижеге берілген нарық бағасын, P/B капиталға қатысты бағалауды, ал дивидендтік табыстылық ағымдағы бағаға қатысты төлемді көрсетеді.</w:t>
      </w:r>
    </w:p>
    <w:p>
      <w:pPr>
        <w:spacing w:after="80"/>
        <w:ind w:firstLine="709"/>
        <w:jc w:val="both"/>
        <w:rPr>
          <w:szCs w:val="24"/>
        </w:rPr>
      </w:pPr>
      <w:r>
        <w:rPr>
          <w:rFonts w:ascii="Times New Roman" w:hAnsi="Times New Roman" w:cs="Times New Roman" w:eastAsia="Times New Roman"/>
          <w:sz w:val="24"/>
          <w:szCs w:val="24"/>
        </w:rPr>
        <w:t>Қорытындыда бір реттік пайда әсері, қарыз жүктемесі және операциялық ақша ағыны да ескеріледі. Сырттай төмен P/E-мен тұрған ұйымның пайдасы біржолғы актив сатудан қалыптасса, тұрақты пайдаға негізделген салыстыру мүлде басқаша болуы мүмкін.</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Нарық бағасы жоқ ұйымға бағаны негізсіз енгізу.</w:t>
      </w:r>
    </w:p>
    <w:p>
      <w:pPr>
        <w:pStyle w:val="a0"/>
        <w:tabs>
          <w:tab w:val="left" w:pos="1134"/>
        </w:tabs>
        <w:ind w:firstLine="491"/>
        <w:jc w:val="both"/>
        <w:rPr>
          <w:szCs w:val="24"/>
        </w:rPr>
      </w:pPr>
      <w:r>
        <w:rPr>
          <w:rFonts w:ascii="Times New Roman" w:hAnsi="Times New Roman" w:cs="Times New Roman" w:eastAsia="Times New Roman"/>
          <w:sz w:val="24"/>
          <w:szCs w:val="24"/>
        </w:rPr>
        <w:t>P/E-ні кепілденген өтелу мерзімі деп түсіндіру.</w:t>
      </w:r>
    </w:p>
    <w:p>
      <w:pPr>
        <w:pStyle w:val="a0"/>
        <w:tabs>
          <w:tab w:val="left" w:pos="1134"/>
        </w:tabs>
        <w:ind w:firstLine="491"/>
        <w:jc w:val="both"/>
        <w:rPr>
          <w:szCs w:val="24"/>
        </w:rPr>
      </w:pPr>
      <w:r>
        <w:rPr>
          <w:rFonts w:ascii="Times New Roman" w:hAnsi="Times New Roman" w:cs="Times New Roman" w:eastAsia="Times New Roman"/>
          <w:sz w:val="24"/>
          <w:szCs w:val="24"/>
        </w:rPr>
        <w:t>EPS пен дивидендті теңестіру.</w:t>
      </w:r>
    </w:p>
    <w:p>
      <w:pPr>
        <w:pStyle w:val="a0"/>
        <w:tabs>
          <w:tab w:val="left" w:pos="1134"/>
        </w:tabs>
        <w:ind w:firstLine="491"/>
        <w:jc w:val="both"/>
        <w:rPr>
          <w:szCs w:val="24"/>
        </w:rPr>
      </w:pPr>
      <w:r>
        <w:rPr>
          <w:rFonts w:ascii="Times New Roman" w:hAnsi="Times New Roman" w:cs="Times New Roman" w:eastAsia="Times New Roman"/>
          <w:sz w:val="24"/>
          <w:szCs w:val="24"/>
        </w:rPr>
        <w:t>Әртүрлі күннің бағасы мен әртүрлі кезеңнің пайдасын араластыру.</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Нарықтық белсенділік нарық үлесімен бірдей ме?</w:t>
      </w:r>
    </w:p>
    <w:p>
      <w:pPr>
        <w:spacing w:after="80"/>
        <w:ind w:left="170" w:firstLine="709"/>
        <w:jc w:val="both"/>
        <w:rPr>
          <w:szCs w:val="24"/>
        </w:rPr>
      </w:pPr>
      <w:r>
        <w:rPr>
          <w:rFonts w:ascii="Times New Roman" w:hAnsi="Times New Roman" w:cs="Times New Roman" w:eastAsia="Times New Roman"/>
          <w:sz w:val="24"/>
          <w:szCs w:val="24"/>
        </w:rPr>
        <w:t>2. Жоғары P/E қандай екі түрлі түсіндіруге ие болуы мүмкін?</w:t>
      </w:r>
    </w:p>
    <w:p>
      <w:pPr>
        <w:spacing w:after="80"/>
        <w:ind w:left="170" w:firstLine="709"/>
        <w:jc w:val="both"/>
        <w:rPr>
          <w:szCs w:val="24"/>
        </w:rPr>
      </w:pPr>
      <w:r>
        <w:rPr>
          <w:rFonts w:ascii="Times New Roman" w:hAnsi="Times New Roman" w:cs="Times New Roman" w:eastAsia="Times New Roman"/>
          <w:sz w:val="24"/>
          <w:szCs w:val="24"/>
        </w:rPr>
        <w:t>3. P/B баланстық бағалауға неге тәуелді?</w:t>
      </w:r>
    </w:p>
    <w:p>
      <w:pPr>
        <w:spacing w:after="80"/>
        <w:ind w:left="170" w:firstLine="709"/>
        <w:jc w:val="both"/>
        <w:rPr>
          <w:szCs w:val="24"/>
        </w:rPr>
      </w:pPr>
      <w:r>
        <w:rPr>
          <w:rFonts w:ascii="Times New Roman" w:hAnsi="Times New Roman" w:cs="Times New Roman" w:eastAsia="Times New Roman"/>
          <w:sz w:val="24"/>
          <w:szCs w:val="24"/>
        </w:rPr>
        <w:t>4. Дивидендтік табыстылық пен төлем үлесінің айырмасы қандай?</w:t>
      </w:r>
    </w:p>
    <w:p>
      <w:pPr>
        <w:spacing w:after="80"/>
        <w:ind w:left="170" w:firstLine="709"/>
        <w:jc w:val="both"/>
        <w:rPr>
          <w:szCs w:val="24"/>
        </w:rPr>
      </w:pPr>
      <w:r>
        <w:rPr>
          <w:rFonts w:ascii="Times New Roman" w:hAnsi="Times New Roman" w:cs="Times New Roman" w:eastAsia="Times New Roman"/>
          <w:sz w:val="24"/>
          <w:szCs w:val="24"/>
        </w:rPr>
        <w:t>5. Теріс пайда кезінде P/E-ні қалай түсіндіреміз?</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spacing w:after="80"/>
        <w:ind w:firstLine="709"/>
        <w:jc w:val="both"/>
        <w:rPr>
          <w:szCs w:val="24"/>
        </w:rPr>
      </w:pPr>
      <w:r>
        <w:rPr>
          <w:rFonts w:ascii="Times New Roman" w:hAnsi="Times New Roman" w:cs="Times New Roman" w:eastAsia="Times New Roman"/>
          <w:sz w:val="24"/>
          <w:szCs w:val="24"/>
        </w:rPr>
        <w:t>Акция бағасы 50, EPS 5, бір акцияға дивиденд 2 теңге болса, P/E 10 есе, дивидендтік табыстылық 4%, дивидендтің пайдадағы үлесі 40%. Бұл көрсеткіштердің өзі болашақ табысқа кепілдік бермейді.</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0" w:line="240" w:lineRule="auto"/>
        <w:ind w:firstLine="709"/>
        <w:jc w:val="both"/>
        <w:rPr>
          <w:szCs w:val="24"/>
        </w:rPr>
      </w:pPr>
      <w:r>
        <w:rPr>
          <w:rFonts w:ascii="Times New Roman" w:hAnsi="Times New Roman" w:cs="Times New Roman" w:eastAsia="Times New Roman"/>
          <w:sz w:val="24"/>
          <w:szCs w:val="24"/>
        </w:rPr>
        <w:t xml:space="preserve">[Ә4] Илышева, Н. Н. Анализ финансовой отчетности : учебное пособие для студентов вузов, обучающихся по специальности «Бухгалтерский учет, анализ и аудит», «Финансы и кредит» / Н. Н. Илышева, С. И. Крылов. — Москва : ЮНИТИ-ДАНА, 2023. — 240 c. — ISBN 978-5-238-01253-7.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[Ә10] Турманидзе, Т. У. Финансовый анализ : учебник для студентов вузов, обучающихся по экономическим специальностям / Т. У. Турманидзе. — 2-е изд. — Москва : ЮНИТИ-ДАНА, 2023. — 288 c. — ISBN 978-5-238-02358-8. — Текст : электронный // Цифровой образовательный ресурс IPR SMART : [сайт]. </w:t>
      </w:r>
      <w:hyperlink r:id="rId16">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[Ә12] Ковалев В.В. Введение в финансовый менеджмент. - М.: Финансы и статистика, 2016. – 763 с.</w:t>
      </w:r>
    </w:p>
    <w:p>
      <w:pPr>
        <w:pStyle w:val="1"/>
        <w:spacing w:before="160"/>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0" w:line="240" w:lineRule="auto"/>
        <w:ind w:firstLine="709"/>
        <w:jc w:val="both"/>
        <w:rPr>
          <w:szCs w:val="24"/>
        </w:rPr>
      </w:pPr>
      <w:r>
        <w:rPr>
          <w:rFonts w:ascii="Times New Roman" w:hAnsi="Times New Roman" w:cs="Times New Roman" w:eastAsia="Times New Roman"/>
          <w:sz w:val="24"/>
          <w:szCs w:val="24"/>
        </w:rPr>
        <w:t xml:space="preserve">[Н11] IFRS Foundation. IAS 33 Earnings per Share. </w:t>
      </w:r>
      <w:hyperlink r:id="rId17">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6.html" TargetMode="External"/><Relationship Id="rId15" Type="http://schemas.openxmlformats.org/officeDocument/2006/relationships/hyperlink" Target="https://www.iprbookshop.ru/142664.html" TargetMode="External"/><Relationship Id="rId16" Type="http://schemas.openxmlformats.org/officeDocument/2006/relationships/hyperlink" Target="https://www.iprbookshop.ru/141637.html" TargetMode="External"/><Relationship Id="rId17" Type="http://schemas.openxmlformats.org/officeDocument/2006/relationships/hyperlink" Target="https://www.ifrs.org/issued-standards/list-of-standards/ias-33-earnings-per-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Кәсіпорынның нарықтық белсенділігін талдау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