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16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Қаржылық тұрақтылықты талдау</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Қаржыландыру құрылымын, борыш жүктемесін және ұзақ мерзімді тұрақтылықты бірнеше өзара байланысты көрсеткіш арқылы бағалау.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Қаржылық тұрақтылықтың мәні; Капитал құрылымының көрсеткіштері; Ұзақ мерзімді активтердің қаржыландырылуы; Қорлардың көздермен қамтамасыз етілуі; Пайыз бен борышқа қызмет көрсету мүмкіндігі; Қарыз сапасы және стресс.</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Қаржылық тұрақтылықтың мәні</w:t>
      </w:r>
    </w:p>
    <w:p>
      <w:pPr>
        <w:ind w:firstLine="709"/>
        <w:jc w:val="both"/>
        <w:rPr>
          <w:szCs w:val="24"/>
        </w:rPr>
      </w:pPr>
      <w:r>
        <w:rPr>
          <w:rFonts w:ascii="Times New Roman" w:hAnsi="Times New Roman" w:cs="Times New Roman" w:eastAsia="Times New Roman"/>
          <w:sz w:val="24"/>
          <w:szCs w:val="24"/>
        </w:rPr>
        <w:t>Қаржылық тұрақтылық ұйымның қызметін қолайсыз өзгерістер кезінде де қаржыландыру, міндеттемелерін орындау және дамуын жалғастыру мүмкіндігін сипаттайды. Ол тек капиталдың көп болуы емес. Қарыз мерзімі, пайыз, валюта, ақша ағыны және активтердің сапасы да маңызды.</w:t>
      </w:r>
    </w:p>
    <w:p>
      <w:pPr>
        <w:ind w:firstLine="709"/>
        <w:jc w:val="both"/>
        <w:rPr>
          <w:szCs w:val="24"/>
        </w:rPr>
      </w:pPr>
      <w:r>
        <w:rPr>
          <w:rFonts w:ascii="Times New Roman" w:hAnsi="Times New Roman" w:cs="Times New Roman" w:eastAsia="Times New Roman"/>
          <w:sz w:val="24"/>
          <w:szCs w:val="24"/>
        </w:rPr>
        <w:t>Қарыздың болуы өздігінен теріс құбылыс емес: ол табысты жобаны қаржыландыруға көмектеседі. Бірақ қарыз бойынша төлем міндетті, ал сатудан түсетін ақша құбылуы мүмкін. Демек қаржылық тұрақтылықты бағалау қаржыландыру көзі мен активтің ақша әкелу мерзімін сәйкестендіруден басталады.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Капитал құрылымының көрсеткіштері</w:t>
      </w:r>
    </w:p>
    <w:p>
      <w:pPr>
        <w:ind w:firstLine="709"/>
        <w:jc w:val="both"/>
        <w:rPr>
          <w:szCs w:val="24"/>
        </w:rPr>
      </w:pPr>
      <w:r>
        <w:rPr>
          <w:rFonts w:ascii="Times New Roman" w:hAnsi="Times New Roman" w:cs="Times New Roman" w:eastAsia="Times New Roman"/>
          <w:sz w:val="24"/>
          <w:szCs w:val="24"/>
        </w:rPr>
        <w:t>Меншікті капитал үлесі активтің қандай бөлігі меншік иелерінің қаражатымен қаржыланғанын көрсетеді. Міндеттеме үлесі сыртқы көздердің салмағын сипаттайды. Қарыз/капитал қатынасында «қарыз» ұғымының қандай құрамда қолданылғанын нақтылау керек: барлық міндеттеме ме, әлде тек пайыздық борыш па?</w:t>
      </w:r>
    </w:p>
    <w:p>
      <w:pPr>
        <w:ind w:firstLine="709"/>
        <w:jc w:val="both"/>
        <w:rPr>
          <w:szCs w:val="24"/>
        </w:rPr>
        <w:keepNext/>
      </w:pPr>
      <w:r>
        <w:rPr>
          <w:rFonts w:ascii="Times New Roman" w:hAnsi="Times New Roman" w:cs="Times New Roman" w:eastAsia="Times New Roman"/>
          <w:b/>
          <w:sz w:val="24"/>
          <w:szCs w:val="24"/>
        </w:rPr>
        <w:t>Меншікті капитал үлесі</w:t>
      </w:r>
    </w:p>
    <w:p>
      <w:pPr>
        <w:ind w:firstLine="709"/>
        <w:jc w:val="both"/>
        <w:rPr>
          <w:szCs w:val="24"/>
        </w:rPr>
      </w:pPr>
      <m:oMath>
        <m:f>
          <m:num>
            <m:r>
              <m:rPr>
                <m:nor/>
              </m:rPr>
              <w:rPr>
                <w:rFonts w:ascii="Times New Roman" w:hAnsi="Times New Roman"/>
                <w:sz w:val="22"/>
              </w:rPr>
              <m:t xml:space="preserve">Меншікті капитал</m:t>
            </m:r>
          </m:num>
          <m:den>
            <m:r>
              <m:rPr>
                <m:nor/>
              </m:rPr>
              <w:rPr>
                <w:rFonts w:ascii="Times New Roman" w:hAnsi="Times New Roman"/>
                <w:sz w:val="22"/>
              </w:rPr>
              <m:t xml:space="preserve">Барлық активтер</m:t>
            </m:r>
          </m:den>
        </m:f>
        <m:r>
          <m:rPr>
            <m:nor/>
          </m:rPr>
          <w:rPr>
            <w:rFonts w:ascii="Times New Roman" w:hAnsi="Times New Roman"/>
            <w:sz w:val="22"/>
          </w:rPr>
          <m:t xml:space="preserve"> × 100%</m:t>
        </m:r>
      </m:oMath>
    </w:p>
    <w:p>
      <w:pPr>
        <w:ind w:firstLine="709"/>
        <w:jc w:val="both"/>
        <w:rPr>
          <w:szCs w:val="24"/>
        </w:rPr>
        <w:keepNext/>
      </w:pPr>
      <w:r>
        <w:rPr>
          <w:rFonts w:ascii="Times New Roman" w:hAnsi="Times New Roman" w:cs="Times New Roman" w:eastAsia="Times New Roman"/>
          <w:b/>
          <w:sz w:val="24"/>
          <w:szCs w:val="24"/>
        </w:rPr>
        <w:t>Міндеттемелердің капиталға қатынасы</w:t>
      </w:r>
    </w:p>
    <w:p>
      <w:pPr>
        <w:ind w:firstLine="709"/>
        <w:jc w:val="both"/>
        <w:rPr>
          <w:szCs w:val="24"/>
        </w:rPr>
      </w:pPr>
      <m:oMath>
        <m:f>
          <m:num>
            <m:r>
              <m:rPr>
                <m:nor/>
              </m:rPr>
              <w:rPr>
                <w:rFonts w:ascii="Times New Roman" w:hAnsi="Times New Roman"/>
                <w:sz w:val="22"/>
              </w:rPr>
              <m:t xml:space="preserve">Барлық міндеттемелер</m:t>
            </m:r>
          </m:num>
          <m:den>
            <m:r>
              <m:rPr>
                <m:nor/>
              </m:rPr>
              <w:rPr>
                <w:rFonts w:ascii="Times New Roman" w:hAnsi="Times New Roman"/>
                <w:sz w:val="22"/>
              </w:rPr>
              <m:t xml:space="preserve">Меншікті капитал</m:t>
            </m:r>
          </m:den>
        </m:f>
      </m:oMath>
    </w:p>
    <w:p>
      <w:pPr>
        <w:ind w:firstLine="709"/>
        <w:jc w:val="both"/>
        <w:rPr>
          <w:szCs w:val="24"/>
        </w:rPr>
      </w:pPr>
      <w:r>
        <w:rPr>
          <w:rFonts w:ascii="Times New Roman" w:hAnsi="Times New Roman" w:cs="Times New Roman" w:eastAsia="Times New Roman"/>
          <w:sz w:val="24"/>
          <w:szCs w:val="24"/>
        </w:rPr>
        <w:t>«АрнаӨндіріс» капиталы 1 350, активі 2 500, міндеттемесі 1 150 мың теңге. Капитал үлесі 54%, міндеттеме үлесі 46%, барлық міндеттеменің капиталға қатынасы 0,85. Бұл капиталдың әр теңгесіне шамамен 0,85 теңге міндеттеме келетінін білдіреді.</w:t>
      </w:r>
    </w:p>
    <w:p>
      <w:pPr>
        <w:ind w:firstLine="709"/>
        <w:jc w:val="both"/>
        <w:rPr>
          <w:szCs w:val="24"/>
        </w:rPr>
      </w:pPr>
      <w:r>
        <w:rPr>
          <w:rFonts w:ascii="Times New Roman" w:hAnsi="Times New Roman" w:cs="Times New Roman" w:eastAsia="Times New Roman"/>
          <w:sz w:val="24"/>
          <w:szCs w:val="24"/>
        </w:rPr>
        <w:t>Пайыздық қарыз бөлек: қысқа несие 200 мен ұзақ несие 650 қосындысы 850. Оның капиталға қатынасы 0,63. 0,85 пен 0,63 әртүрлі анықтамамен есептелгендіктен, екеуін түсіндірмей бір көрсеткіш ретінде салыстыруға болмайды.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Ұзақ мерзімді активтердің қаржыландырылуы</w:t>
      </w:r>
    </w:p>
    <w:p>
      <w:pPr>
        <w:ind w:firstLine="709"/>
        <w:jc w:val="both"/>
        <w:rPr>
          <w:szCs w:val="24"/>
        </w:rPr>
      </w:pPr>
      <w:r>
        <w:rPr>
          <w:rFonts w:ascii="Times New Roman" w:hAnsi="Times New Roman" w:cs="Times New Roman" w:eastAsia="Times New Roman"/>
          <w:sz w:val="24"/>
          <w:szCs w:val="24"/>
        </w:rPr>
        <w:t>Ұзақ мерзім пайдаланылатын жабдықты тек өте қысқа несиемен қаржыландыру қайта қаржыландыру тәуекелін арттырады. Сондықтан капитал мен ұзақ міндеттемелерден тұратын тұрақты көздердің ұзақ активтерді жабу мүмкіндігі қаралады.</w:t>
      </w:r>
    </w:p>
    <w:p>
      <w:pPr>
        <w:ind w:firstLine="709"/>
        <w:jc w:val="both"/>
        <w:rPr>
          <w:szCs w:val="24"/>
        </w:rPr>
      </w:pPr>
      <m:oMath>
        <m:r>
          <m:rPr>
            <m:nor/>
          </m:rPr>
          <w:rPr>
            <w:rFonts w:ascii="Times New Roman" w:hAnsi="Times New Roman"/>
            <w:sz w:val="22"/>
          </w:rPr>
          <m:t xml:space="preserve">Тұрақты қаржыландыру = 1 350 + 650 = 2 000</m:t>
        </m:r>
      </m:oMath>
    </w:p>
    <w:p>
      <w:pPr>
        <w:ind w:firstLine="709"/>
        <w:jc w:val="both"/>
        <w:rPr>
          <w:szCs w:val="24"/>
        </w:rPr>
      </w:pPr>
      <m:oMath>
        <m:r>
          <m:rPr>
            <m:nor/>
          </m:rPr>
          <w:rPr>
            <w:rFonts w:ascii="Times New Roman" w:hAnsi="Times New Roman"/>
            <w:sz w:val="22"/>
          </w:rPr>
          <m:t xml:space="preserve">Таза айналым капиталы = 2 000 − 1 260 = 740</m:t>
        </m:r>
      </m:oMath>
    </w:p>
    <w:p>
      <w:pPr>
        <w:ind w:firstLine="709"/>
        <w:jc w:val="both"/>
        <w:rPr>
          <w:szCs w:val="24"/>
        </w:rPr>
      </w:pPr>
      <w:r>
        <w:rPr>
          <w:rFonts w:ascii="Times New Roman" w:hAnsi="Times New Roman" w:cs="Times New Roman" w:eastAsia="Times New Roman"/>
          <w:sz w:val="24"/>
          <w:szCs w:val="24"/>
        </w:rPr>
        <w:t>Бұл нәтиже қысқа активтерден қысқа міндеттемелерді шегергендегі 740-пен сәйкес келеді. Егер екі тәсіл екі нәтиже берсе, баптарды топтастыруды тексеру қажет. Ұзақ активтер тұрақты көздермен жабылып, қысқа активтердің 740 бөлігіне де осы көздер пайдаланылған.</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Қорлардың көздермен қамтамасыз етілуі</w:t>
      </w:r>
    </w:p>
    <w:p>
      <w:pPr>
        <w:ind w:firstLine="709"/>
        <w:jc w:val="both"/>
        <w:rPr>
          <w:szCs w:val="24"/>
        </w:rPr>
      </w:pPr>
      <w:r>
        <w:rPr>
          <w:rFonts w:ascii="Times New Roman" w:hAnsi="Times New Roman" w:cs="Times New Roman" w:eastAsia="Times New Roman"/>
          <w:sz w:val="24"/>
          <w:szCs w:val="24"/>
        </w:rPr>
        <w:t>Дәстүрлі оқу әдістемесінде меншікті айналым қаражаты капиталдан ұзақ активтерді шегеру арқылы табылады. Мысалда 1 350 − 1 260 = 90. Қор 600 болғандықтан, оны тек осы 90-мен жабу мүмкін емес. Ұзақ қарызды қосқан тұрақты айналым көздері 740 болып, қорды жабады.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Қамту деңгейі</w:t>
            </w:r>
          </w:p>
        </w:tc>
        <w:tc>
          <w:tcPr>
            <w:tcW w:type="dxa" w:w="3219"/>
            <w:vAlign w:val="center"/>
            <w:shd w:fill="E9EEF4"/>
          </w:tcPr>
          <w:p>
            <w:pPr>
              <w:spacing w:line="252" w:lineRule="auto" w:after="20"/>
            </w:pPr>
            <w:r>
              <w:rPr>
                <w:rFonts w:ascii="Times New Roman" w:hAnsi="Times New Roman" w:cs="Times New Roman" w:eastAsia="Times New Roman"/>
                <w:b/>
                <w:sz w:val="24"/>
                <w:szCs w:val="24"/>
              </w:rPr>
              <w:t>Мың теңге</w:t>
            </w:r>
          </w:p>
        </w:tc>
        <w:tc>
          <w:tcPr>
            <w:tcW w:type="dxa" w:w="3219"/>
            <w:vAlign w:val="center"/>
            <w:shd w:fill="E9EEF4"/>
          </w:tcPr>
          <w:p>
            <w:pPr>
              <w:spacing w:line="252" w:lineRule="auto" w:after="20"/>
            </w:pPr>
            <w:r>
              <w:rPr>
                <w:rFonts w:ascii="Times New Roman" w:hAnsi="Times New Roman" w:cs="Times New Roman" w:eastAsia="Times New Roman"/>
                <w:b/>
                <w:sz w:val="24"/>
                <w:szCs w:val="24"/>
              </w:rPr>
              <w:t>Қор 600-мен салыстыру</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Меншікті айналым қаражаты</w:t>
            </w:r>
          </w:p>
        </w:tc>
        <w:tc>
          <w:tcPr>
            <w:tcW w:type="dxa" w:w="3219"/>
            <w:vAlign w:val="center"/>
          </w:tcPr>
          <w:p>
            <w:pPr>
              <w:spacing w:line="252" w:lineRule="auto" w:after="20"/>
              <w:jc w:val="center"/>
            </w:pPr>
            <w:r>
              <w:rPr>
                <w:rFonts w:ascii="Times New Roman" w:hAnsi="Times New Roman" w:cs="Times New Roman" w:eastAsia="Times New Roman"/>
                <w:sz w:val="24"/>
                <w:szCs w:val="24"/>
              </w:rPr>
              <w:t>90</w:t>
            </w:r>
          </w:p>
        </w:tc>
        <w:tc>
          <w:tcPr>
            <w:tcW w:type="dxa" w:w="3219"/>
            <w:vAlign w:val="center"/>
          </w:tcPr>
          <w:p>
            <w:pPr>
              <w:spacing w:line="252" w:lineRule="auto" w:after="20"/>
            </w:pPr>
            <w:r>
              <w:rPr>
                <w:rFonts w:ascii="Times New Roman" w:hAnsi="Times New Roman" w:cs="Times New Roman" w:eastAsia="Times New Roman"/>
                <w:sz w:val="24"/>
                <w:szCs w:val="24"/>
              </w:rPr>
              <w:t>Жеткіліксіз</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Меншікті және ұзақ қарыз көздері</w:t>
            </w:r>
          </w:p>
        </w:tc>
        <w:tc>
          <w:tcPr>
            <w:tcW w:type="dxa" w:w="3219"/>
            <w:vAlign w:val="center"/>
          </w:tcPr>
          <w:p>
            <w:pPr>
              <w:spacing w:line="252" w:lineRule="auto" w:after="20"/>
              <w:jc w:val="center"/>
            </w:pPr>
            <w:r>
              <w:rPr>
                <w:rFonts w:ascii="Times New Roman" w:hAnsi="Times New Roman" w:cs="Times New Roman" w:eastAsia="Times New Roman"/>
                <w:sz w:val="24"/>
                <w:szCs w:val="24"/>
              </w:rPr>
              <w:t>740</w:t>
            </w:r>
          </w:p>
        </w:tc>
        <w:tc>
          <w:tcPr>
            <w:tcW w:type="dxa" w:w="3219"/>
            <w:vAlign w:val="center"/>
          </w:tcPr>
          <w:p>
            <w:pPr>
              <w:spacing w:line="252" w:lineRule="auto" w:after="20"/>
            </w:pPr>
            <w:r>
              <w:rPr>
                <w:rFonts w:ascii="Times New Roman" w:hAnsi="Times New Roman" w:cs="Times New Roman" w:eastAsia="Times New Roman"/>
                <w:sz w:val="24"/>
                <w:szCs w:val="24"/>
              </w:rPr>
              <w:t>Қамтиды</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Оған қысқа несие қосылған сома</w:t>
            </w:r>
          </w:p>
        </w:tc>
        <w:tc>
          <w:tcPr>
            <w:tcW w:type="dxa" w:w="3219"/>
            <w:vAlign w:val="center"/>
          </w:tcPr>
          <w:p>
            <w:pPr>
              <w:spacing w:line="252" w:lineRule="auto" w:after="20"/>
              <w:jc w:val="center"/>
            </w:pPr>
            <w:r>
              <w:rPr>
                <w:rFonts w:ascii="Times New Roman" w:hAnsi="Times New Roman" w:cs="Times New Roman" w:eastAsia="Times New Roman"/>
                <w:sz w:val="24"/>
                <w:szCs w:val="24"/>
              </w:rPr>
              <w:t>940</w:t>
            </w:r>
          </w:p>
        </w:tc>
        <w:tc>
          <w:tcPr>
            <w:tcW w:type="dxa" w:w="3219"/>
            <w:vAlign w:val="center"/>
          </w:tcPr>
          <w:p>
            <w:pPr>
              <w:spacing w:line="252" w:lineRule="auto" w:after="20"/>
            </w:pPr>
            <w:r>
              <w:rPr>
                <w:rFonts w:ascii="Times New Roman" w:hAnsi="Times New Roman" w:cs="Times New Roman" w:eastAsia="Times New Roman"/>
                <w:sz w:val="24"/>
                <w:szCs w:val="24"/>
              </w:rPr>
              <w:t>Қамтиды</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Оқулықтарда осы салыстырудан абсолюттік, қалыпты, тұрақсыз және дағдарыстық жағдай түрлері ажыратылуы мүмкін. Бұл жіктеу — нақты әдістемеге тәуелді талдамалық үлгі; заңдық банкроттық белгісі емес. Қордың сапасы мен ұйымның бизнес үлгісі ескерілмесе, атаулар жаңылыстырады.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Пайыз бен борышқа қызмет көрсету мүмкіндігі</w:t>
      </w:r>
    </w:p>
    <w:p>
      <w:pPr>
        <w:ind w:firstLine="709"/>
        <w:jc w:val="both"/>
        <w:rPr>
          <w:szCs w:val="24"/>
        </w:rPr>
      </w:pPr>
      <w:r>
        <w:rPr>
          <w:rFonts w:ascii="Times New Roman" w:hAnsi="Times New Roman" w:cs="Times New Roman" w:eastAsia="Times New Roman"/>
          <w:sz w:val="24"/>
          <w:szCs w:val="24"/>
        </w:rPr>
        <w:t>Пайызды жабу коэффициенті табыстың пайыз төлеміне қатысты қорын көрсетеді. Осы мысалда EBIT салыққа дейінгі пайдаға пайыз шығысын қосумен анықталады: 420 + 80 = 500. Ол IFRS 18 бойынша операциялық пайда 480-мен бірдей емес, себебі мысалда 20 инвестициялық кіріс бар.</w:t>
      </w:r>
    </w:p>
    <w:p>
      <w:pPr>
        <w:ind w:firstLine="709"/>
        <w:jc w:val="both"/>
        <w:rPr>
          <w:szCs w:val="24"/>
        </w:rPr>
        <w:keepNext/>
      </w:pPr>
      <w:r>
        <w:rPr>
          <w:rFonts w:ascii="Times New Roman" w:hAnsi="Times New Roman" w:cs="Times New Roman" w:eastAsia="Times New Roman"/>
          <w:b/>
          <w:sz w:val="24"/>
          <w:szCs w:val="24"/>
        </w:rPr>
        <w:t>Пайызды жабу</w:t>
      </w:r>
    </w:p>
    <w:p>
      <w:pPr>
        <w:ind w:firstLine="709"/>
        <w:jc w:val="both"/>
        <w:rPr>
          <w:szCs w:val="24"/>
        </w:rPr>
      </w:pPr>
      <m:oMath>
        <m:f>
          <m:num>
            <m:r>
              <m:rPr>
                <m:nor/>
              </m:rPr>
              <w:rPr>
                <w:rFonts w:ascii="Times New Roman" w:hAnsi="Times New Roman"/>
                <w:sz w:val="22"/>
              </w:rPr>
              <m:t xml:space="preserve">500</m:t>
            </m:r>
          </m:num>
          <m:den>
            <m:r>
              <m:rPr>
                <m:nor/>
              </m:rPr>
              <w:rPr>
                <w:rFonts w:ascii="Times New Roman" w:hAnsi="Times New Roman"/>
                <w:sz w:val="22"/>
              </w:rPr>
              <m:t xml:space="preserve">80</m:t>
            </m:r>
          </m:den>
        </m:f>
        <m:r>
          <m:rPr>
            <m:nor/>
          </m:rPr>
          <w:rPr>
            <w:rFonts w:ascii="Times New Roman" w:hAnsi="Times New Roman"/>
            <w:sz w:val="22"/>
          </w:rPr>
          <m:t xml:space="preserve"> = 6,25 есе</m:t>
        </m:r>
      </m:oMath>
    </w:p>
    <w:p>
      <w:pPr>
        <w:ind w:firstLine="709"/>
        <w:jc w:val="both"/>
        <w:rPr>
          <w:szCs w:val="24"/>
        </w:rPr>
      </w:pPr>
      <w:r>
        <w:rPr>
          <w:rFonts w:ascii="Times New Roman" w:hAnsi="Times New Roman" w:cs="Times New Roman" w:eastAsia="Times New Roman"/>
          <w:sz w:val="24"/>
          <w:szCs w:val="24"/>
        </w:rPr>
        <w:t>Ақшаға негізделген борышқа қызмет көрсету көрсеткіші де маңызды. Егер пайызға дейінгі, бірақ салықтан кейінгі операциялық ақша 420, пайыз төлемі 80, негізгі борыш өтеуі 100 болса, осы анықтама бойынша жабу 420 / 180 = 2,33 есе. Инвестиция мен дивидендтің ақша қажеттілігі кейін бөлек қаралады. Нақты келісімшарттағы DSCR анықтамасы өзгеше болуы мүмкін.</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Қарыз сапасы және стресс</w:t>
      </w:r>
    </w:p>
    <w:p>
      <w:pPr>
        <w:ind w:firstLine="709"/>
        <w:jc w:val="both"/>
        <w:rPr>
          <w:szCs w:val="24"/>
        </w:rPr>
      </w:pPr>
      <w:r>
        <w:rPr>
          <w:rFonts w:ascii="Times New Roman" w:hAnsi="Times New Roman" w:cs="Times New Roman" w:eastAsia="Times New Roman"/>
          <w:sz w:val="24"/>
          <w:szCs w:val="24"/>
        </w:rPr>
        <w:t>Екі ұйымның қарыз сомасы бірдей болғанымен, тәуекелі әртүрлі болуы мүмкін. Біреуінің қарызы тұрақты пайызбен бес жылға алынған, екіншісінікі үш ай сайын қайта қаржыландырылады. Валюталық қарыз алынып, кіріс теңгемен түссе, бағам тәуекелі де туындайды.</w:t>
      </w:r>
    </w:p>
    <w:p>
      <w:pPr>
        <w:ind w:firstLine="709"/>
        <w:jc w:val="both"/>
        <w:rPr>
          <w:szCs w:val="24"/>
        </w:rPr>
      </w:pPr>
      <w:r>
        <w:rPr>
          <w:rFonts w:ascii="Times New Roman" w:hAnsi="Times New Roman" w:cs="Times New Roman" w:eastAsia="Times New Roman"/>
          <w:sz w:val="24"/>
          <w:szCs w:val="24"/>
        </w:rPr>
        <w:t>Қолайсыз сценарийде сату немесе маржа төмендеп, пайыз өссе, жабу коэффициенті қалай өзгеретіні есептеледі. Мысалы, EBIT 300-ге түсіп, пайыз 100 болса, жабу 3 есе болады. Ол бастапқы 6,25-тен төмен: қарыз сомасы өзгермесе де қызмет көрсету қоры азайды.</w:t>
      </w:r>
    </w:p>
    <w:p>
      <w:pPr>
        <w:ind w:firstLine="709"/>
        <w:jc w:val="both"/>
        <w:rPr>
          <w:szCs w:val="24"/>
        </w:rPr>
      </w:pPr>
      <w:r>
        <w:rPr>
          <w:rFonts w:ascii="Times New Roman" w:hAnsi="Times New Roman" w:cs="Times New Roman" w:eastAsia="Times New Roman"/>
          <w:sz w:val="24"/>
          <w:szCs w:val="24"/>
        </w:rPr>
        <w:t>Барлық кәсіпорынға капитал үлесі дәл 50% болуы керек деген әмбебап ҚЕХС нормасы жоқ. Бағалау салаға, ақша ағынына, келісімшартқа және тәуекелге тәуелді. Қарыздың «жақсы» немесе «жаман» болуы оның құны мен тұрақты нәтиже әкелу қабілеті арқылы талданады.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Барлық міндеттемені пайыздық қарызбен шатастыру.</w:t>
      </w:r>
    </w:p>
    <w:p>
      <w:pPr>
        <w:pStyle w:val="a0"/>
        <w:tabs>
          <w:tab w:val="left" w:pos="1134"/>
        </w:tabs>
        <w:ind w:firstLine="491"/>
        <w:jc w:val="both"/>
        <w:rPr>
          <w:szCs w:val="24"/>
        </w:rPr>
      </w:pPr>
      <w:r>
        <w:rPr>
          <w:rFonts w:ascii="Times New Roman" w:hAnsi="Times New Roman" w:cs="Times New Roman" w:eastAsia="Times New Roman"/>
          <w:sz w:val="24"/>
          <w:szCs w:val="24"/>
        </w:rPr>
        <w:t>EBIT пен операциялық пайданы анықтамасыз теңестіру.</w:t>
      </w:r>
    </w:p>
    <w:p>
      <w:pPr>
        <w:pStyle w:val="a0"/>
        <w:tabs>
          <w:tab w:val="left" w:pos="1134"/>
        </w:tabs>
        <w:ind w:firstLine="491"/>
        <w:jc w:val="both"/>
        <w:rPr>
          <w:szCs w:val="24"/>
        </w:rPr>
      </w:pPr>
      <w:r>
        <w:rPr>
          <w:rFonts w:ascii="Times New Roman" w:hAnsi="Times New Roman" w:cs="Times New Roman" w:eastAsia="Times New Roman"/>
          <w:sz w:val="24"/>
          <w:szCs w:val="24"/>
        </w:rPr>
        <w:t>Капитал үлесіне ғана сүйену.</w:t>
      </w:r>
    </w:p>
    <w:p>
      <w:pPr>
        <w:pStyle w:val="a0"/>
        <w:tabs>
          <w:tab w:val="left" w:pos="1134"/>
        </w:tabs>
        <w:ind w:firstLine="491"/>
        <w:jc w:val="both"/>
        <w:rPr>
          <w:szCs w:val="24"/>
        </w:rPr>
      </w:pPr>
      <w:r>
        <w:rPr>
          <w:rFonts w:ascii="Times New Roman" w:hAnsi="Times New Roman" w:cs="Times New Roman" w:eastAsia="Times New Roman"/>
          <w:sz w:val="24"/>
          <w:szCs w:val="24"/>
        </w:rPr>
        <w:t>Борыштың өтеу мерзімі мен валютасын елемеу.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Неліктен қарыз көлемі бірдей ұйымдардың тәуекелі әртүрлі?</w:t>
      </w:r>
    </w:p>
    <w:p>
      <w:pPr>
        <w:spacing w:after="80"/>
        <w:ind w:left="170" w:firstLine="709"/>
        <w:jc w:val="both"/>
        <w:rPr>
          <w:szCs w:val="24"/>
        </w:rPr>
      </w:pPr>
      <w:r>
        <w:rPr>
          <w:rFonts w:ascii="Times New Roman" w:hAnsi="Times New Roman" w:cs="Times New Roman" w:eastAsia="Times New Roman"/>
          <w:sz w:val="24"/>
          <w:szCs w:val="24"/>
        </w:rPr>
        <w:t>2. Тұрақты көздер мен ұзақ активтердің байланысы қандай?</w:t>
      </w:r>
    </w:p>
    <w:p>
      <w:pPr>
        <w:spacing w:after="80"/>
        <w:ind w:left="170" w:firstLine="709"/>
        <w:jc w:val="both"/>
        <w:rPr>
          <w:szCs w:val="24"/>
        </w:rPr>
      </w:pPr>
      <w:r>
        <w:rPr>
          <w:rFonts w:ascii="Times New Roman" w:hAnsi="Times New Roman" w:cs="Times New Roman" w:eastAsia="Times New Roman"/>
          <w:sz w:val="24"/>
          <w:szCs w:val="24"/>
        </w:rPr>
        <w:t>3. Екі тәсілмен таза айналым капиталын қалай тексереміз?</w:t>
      </w:r>
    </w:p>
    <w:p>
      <w:pPr>
        <w:spacing w:after="80"/>
        <w:ind w:left="170" w:firstLine="709"/>
        <w:jc w:val="both"/>
        <w:rPr>
          <w:szCs w:val="24"/>
        </w:rPr>
      </w:pPr>
      <w:r>
        <w:rPr>
          <w:rFonts w:ascii="Times New Roman" w:hAnsi="Times New Roman" w:cs="Times New Roman" w:eastAsia="Times New Roman"/>
          <w:sz w:val="24"/>
          <w:szCs w:val="24"/>
        </w:rPr>
        <w:t>4. Пайызды жабу мен ақшалай жабу несімен ерекшеленеді?</w:t>
      </w:r>
    </w:p>
    <w:p>
      <w:pPr>
        <w:spacing w:after="80"/>
        <w:ind w:left="170" w:firstLine="709"/>
        <w:jc w:val="both"/>
        <w:rPr>
          <w:szCs w:val="24"/>
        </w:rPr>
      </w:pPr>
      <w:r>
        <w:rPr>
          <w:rFonts w:ascii="Times New Roman" w:hAnsi="Times New Roman" w:cs="Times New Roman" w:eastAsia="Times New Roman"/>
          <w:sz w:val="24"/>
          <w:szCs w:val="24"/>
        </w:rPr>
        <w:t>5. Қорды қаржыландыру үлгісін қолданудың шектеуі қандай?</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Актив 1 800, капитал 900, ұзақ міндеттеме 500, қысқа міндеттеме 400, ұзақ актив 1 200. Капитал үлесі 50%, барлық міндеттеменің капиталға қатынасы 1,0; тұрақты көздер 1 400, таза айналым капиталы 200 болады.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 xml:space="preserve">[Ә1] Кириченко, Д. А. Финансовый анализ : учебное пособие / Д. А. Кириченко, Н. Е. Симионова. — Москва : Ай Пи Ар Медиа, 2022. — 103 c. — ISBN 978-5-4497-1740-5. — Текст : электронный // Цифровой образовательный ресурс IPR SMART : [сайт]. </w:t>
      </w:r>
      <w:hyperlink r:id="rId8">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[Ә4] Илышева, Н. Н. Анализ финансовой отчетности : учебное пособие для студентов вузов, обучающихся по специальности «Бухгалтерский учет, анализ и аудит», «Финансы и кредит» / Н. Н. Илышева, С. И. Крылов. — Москва : ЮНИТИ-ДАНА, 2023. — 240 c. — ISBN 978-5-238-01253-7.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5">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[Ә13] Савицкая Г.В. Анализ хозяйственной деятельности предприятия. - М.: Инфра-М, 2010. - 536 с.</w:t>
      </w:r>
    </w:p>
    <w:p>
      <w:pPr>
        <w:spacing w:after="60"/>
        <w:ind w:firstLine="709"/>
        <w:jc w:val="both"/>
        <w:rPr>
          <w:szCs w:val="24"/>
        </w:rPr>
      </w:pPr>
      <w:r>
        <w:rPr>
          <w:rFonts w:ascii="Times New Roman" w:hAnsi="Times New Roman" w:cs="Times New Roman" w:eastAsia="Times New Roman"/>
          <w:sz w:val="24"/>
          <w:szCs w:val="24"/>
        </w:rPr>
        <w:t>[Ә17] Костырко Р.А., Куур О.В. Финансовый анализ: теория и практика в контексте МСФО: Учебное пособие.- Усть-Каменогорск, ВКГТУ, 2011.- 180 с.</w:t>
      </w:r>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6.html" TargetMode="External"/><Relationship Id="rId15" Type="http://schemas.openxmlformats.org/officeDocument/2006/relationships/hyperlink" Target="https://www.iprbookshop.ru/1426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Қаржылық тұрақтылықты талдау</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