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pacing w:after="80"/>
        <w:ind w:firstLine="709"/>
        <w:jc w:val="both"/>
        <w:rPr>
          <w:szCs w:val="24"/>
        </w:rPr>
      </w:pPr>
      <w:r>
        <w:rPr>
          <w:rFonts w:ascii="Times New Roman" w:hAnsi="Times New Roman" w:cs="Times New Roman" w:eastAsia="Times New Roman"/>
          <w:b/>
          <w:sz w:val="24"/>
          <w:szCs w:val="24"/>
        </w:rPr>
        <w:t>15 ДӘРІС</w:t>
      </w:r>
    </w:p>
    <w:p>
      <w:pPr>
        <w:pStyle w:val="aa"/>
        <w:ind w:firstLine="709"/>
        <w:jc w:val="both"/>
        <w:rPr>
          <w:rFonts w:ascii="Times New Roman" w:hAnsi="Times New Roman" w:cs="Times New Roman"/>
          <w:sz w:val="24"/>
          <w:szCs w:val="24"/>
        </w:rPr>
      </w:pPr>
      <w:r>
        <w:rPr>
          <w:rFonts w:ascii="Times New Roman" w:hAnsi="Times New Roman" w:cs="Times New Roman" w:eastAsia="Times New Roman"/>
          <w:sz w:val="24"/>
          <w:szCs w:val="24"/>
        </w:rPr>
        <w:t>Баланстың өтімділігі және кәсіпорынның төлем қабілеттілігі</w:t>
      </w:r>
    </w:p>
    <w:p>
      <w:pPr>
        <w:spacing w:after="80"/>
        <w:ind w:firstLine="709"/>
        <w:jc w:val="both"/>
        <w:rPr>
          <w:szCs w:val="24"/>
        </w:rPr>
      </w:pPr>
      <w:r>
        <w:rPr>
          <w:rFonts w:ascii="Times New Roman" w:hAnsi="Times New Roman" w:cs="Times New Roman" w:eastAsia="Times New Roman"/>
          <w:b/>
          <w:sz w:val="24"/>
          <w:szCs w:val="24"/>
        </w:rPr>
        <w:t xml:space="preserve">Дәрістің мақсаты. </w:t>
      </w:r>
      <w:r>
        <w:rPr>
          <w:rFonts w:ascii="Times New Roman" w:hAnsi="Times New Roman" w:cs="Times New Roman" w:eastAsia="Times New Roman"/>
          <w:sz w:val="24"/>
          <w:szCs w:val="24"/>
        </w:rPr>
        <w:t>Өтімділік пен төлем қабілеттілігін ажырату, негізгі коэффициенттерді есептеу және олардың шектеулерін түсіндіру.</w:t>
      </w:r>
    </w:p>
    <w:p>
      <w:pPr>
        <w:spacing w:after="80"/>
        <w:ind w:firstLine="709"/>
        <w:jc w:val="both"/>
        <w:rPr>
          <w:szCs w:val="24"/>
        </w:rPr>
      </w:pPr>
      <w:r>
        <w:rPr>
          <w:rFonts w:ascii="Times New Roman" w:hAnsi="Times New Roman" w:cs="Times New Roman" w:eastAsia="Times New Roman"/>
          <w:b/>
          <w:sz w:val="24"/>
          <w:szCs w:val="24"/>
        </w:rPr>
        <w:t xml:space="preserve">Қарастырылатын сұрақтар. </w:t>
      </w:r>
      <w:r>
        <w:rPr>
          <w:rFonts w:ascii="Times New Roman" w:hAnsi="Times New Roman" w:cs="Times New Roman" w:eastAsia="Times New Roman"/>
          <w:sz w:val="24"/>
          <w:szCs w:val="24"/>
        </w:rPr>
        <w:t>Екі ұғымның айырмасы; Актив пен міндеттемені топтастыру; Ағымдағы өтімділік; Жедел және абсолюттік өтімділік; Таза айналым капиталы; Нәтижені сапамен бірге бағалау; Төлем қабілеттілігін күнтізбемен тексеру.</w:t>
      </w:r>
    </w:p>
    <w:p>
      <w:pPr>
        <w:pStyle w:val="1"/>
        <w:spacing w:before="160"/>
        <w:ind w:firstLine="709"/>
        <w:jc w:val="both"/>
        <w:rPr>
          <w:rFonts w:ascii="Times New Roman" w:hAnsi="Times New Roman" w:cs="Times New Roman"/>
          <w:sz w:val="24"/>
          <w:szCs w:val="24"/>
        </w:rPr>
      </w:pPr>
      <w:r>
        <w:rPr>
          <w:rFonts w:ascii="Times New Roman" w:hAnsi="Times New Roman" w:cs="Times New Roman" w:eastAsia="Times New Roman"/>
          <w:sz w:val="24"/>
          <w:szCs w:val="24"/>
        </w:rPr>
        <w:t>1 Екі ұғымның айырмасы</w:t>
      </w:r>
    </w:p>
    <w:p>
      <w:pPr>
        <w:spacing w:after="80"/>
        <w:ind w:firstLine="709"/>
        <w:jc w:val="both"/>
        <w:rPr>
          <w:szCs w:val="24"/>
        </w:rPr>
      </w:pPr>
      <w:r>
        <w:rPr>
          <w:rFonts w:ascii="Times New Roman" w:hAnsi="Times New Roman" w:cs="Times New Roman" w:eastAsia="Times New Roman"/>
          <w:sz w:val="24"/>
          <w:szCs w:val="24"/>
        </w:rPr>
        <w:t>Өтімділік активтің ақшалай нысанға айналу мүмкіндігін сипаттайды. Төлем қабілеттілігі ұйымның міндеттемелерді мерзімі келгенде орындау қабілетін көрсетеді. Қор сатуға жарамды болуы мүмкін, бірақ ертеңгі жалақыға оны бір күнде ақшаға айналдыру қиын. Сондықтан активтің бар болуы мен төлемге дайын ақша бір ұғым емес.</w:t>
      </w:r>
    </w:p>
    <w:p>
      <w:pPr>
        <w:spacing w:after="80"/>
        <w:ind w:firstLine="709"/>
        <w:jc w:val="both"/>
        <w:rPr>
          <w:szCs w:val="24"/>
        </w:rPr>
      </w:pPr>
      <w:r>
        <w:rPr>
          <w:rFonts w:ascii="Times New Roman" w:hAnsi="Times New Roman" w:cs="Times New Roman" w:eastAsia="Times New Roman"/>
          <w:sz w:val="24"/>
          <w:szCs w:val="24"/>
        </w:rPr>
        <w:t>Баланс өтімділігі активтердің ақшаға айналу мерзімі мен міндеттемелердің өтелу мерзімін сәйкестендіру арқылы бағаланады. Ол нақты күндегі құрылымды көрсетеді. Ал төлем күнтізбесі алдағы күндер мен апталардағы ақша тапшылығын анықтауға мүмкіндік береді.</w:t>
      </w:r>
    </w:p>
    <w:p>
      <w:pPr>
        <w:pStyle w:val="1"/>
        <w:spacing w:before="160"/>
        <w:ind w:firstLine="709"/>
        <w:jc w:val="both"/>
        <w:rPr>
          <w:rFonts w:ascii="Times New Roman" w:hAnsi="Times New Roman" w:cs="Times New Roman"/>
          <w:sz w:val="24"/>
          <w:szCs w:val="24"/>
        </w:rPr>
      </w:pPr>
      <w:r>
        <w:rPr>
          <w:rFonts w:ascii="Times New Roman" w:hAnsi="Times New Roman" w:cs="Times New Roman" w:eastAsia="Times New Roman"/>
          <w:sz w:val="24"/>
          <w:szCs w:val="24"/>
        </w:rPr>
        <w:t>2 Актив пен міндеттемені топтастыру</w:t>
      </w:r>
    </w:p>
    <w:p>
      <w:pPr>
        <w:spacing w:after="80"/>
        <w:ind w:firstLine="709"/>
        <w:jc w:val="both"/>
        <w:rPr>
          <w:szCs w:val="24"/>
        </w:rPr>
      </w:pPr>
      <w:r>
        <w:rPr>
          <w:rFonts w:ascii="Times New Roman" w:hAnsi="Times New Roman" w:cs="Times New Roman" w:eastAsia="Times New Roman"/>
          <w:sz w:val="24"/>
          <w:szCs w:val="24"/>
        </w:rPr>
        <w:t>Дәстүрлі оқу тәсілінде активтер ең өтімді ақша мен қысқа қаржылық салымдардан, тезірек өндірілетін берешектен, баяуырақ өткізілетін қордан және ұзақ мерзімді активтерден тұратын топтарға бөлінеді. Міндеттемелер жедел төленетін берешек, қысқа қарыз, ұзақ міндеттеме және тұрақты қаржыландыру көздері ретінде топтастырылады.</w:t>
      </w:r>
    </w:p>
    <w:p>
      <w:pPr>
        <w:spacing w:after="80"/>
        <w:ind w:firstLine="709"/>
        <w:jc w:val="both"/>
        <w:rPr>
          <w:szCs w:val="24"/>
        </w:rPr>
      </w:pPr>
      <w:r>
        <w:rPr>
          <w:rFonts w:ascii="Times New Roman" w:hAnsi="Times New Roman" w:cs="Times New Roman" w:eastAsia="Times New Roman"/>
          <w:sz w:val="24"/>
          <w:szCs w:val="24"/>
        </w:rPr>
        <w:t>Бұл — талдамалық үлгі, ҚЕХС-тың жеке нысаны немесе барлық ұйымға міндетті теңсіздіктер жиынтығы емес. Әр активтің нақты сапасы мен міндеттеменің шарттағы мерзімі ескеріледі. Мерзімі өтіп кеткен берешекті «тез өтімді» топқа механикалық енгізу бағалауды бұрмалайды.</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65" w:type="dxa"/>
          <w:bottom w:w="65" w:type="dxa"/>
          <w:left w:w="85" w:type="dxa"/>
          <w:right w:w="85" w:type="dxa"/>
        </w:tblCellMar>
      </w:tblPr>
      <w:tblGrid>
        <w:gridCol w:w="3030"/>
        <w:gridCol w:w="3219"/>
        <w:gridCol w:w="3219"/>
      </w:tblGrid>
      <w:tr>
        <w:trPr>
          <w:tblHeader/>
          <w:cantSplit/>
        </w:trPr>
        <w:tc>
          <w:tcPr>
            <w:tcW w:type="dxa" w:w="3030"/>
            <w:vAlign w:val="center"/>
            <w:shd w:fill="E9EEF4"/>
          </w:tcPr>
          <w:p>
            <w:pPr>
              <w:spacing w:line="252" w:lineRule="auto" w:after="20"/>
            </w:pPr>
            <w:r>
              <w:rPr>
                <w:rFonts w:ascii="Times New Roman" w:hAnsi="Times New Roman" w:cs="Times New Roman" w:eastAsia="Times New Roman"/>
                <w:b/>
                <w:sz w:val="24"/>
                <w:szCs w:val="24"/>
              </w:rPr>
              <w:t>Оқу тобы</w:t>
            </w:r>
          </w:p>
        </w:tc>
        <w:tc>
          <w:tcPr>
            <w:tcW w:type="dxa" w:w="3219"/>
            <w:vAlign w:val="center"/>
            <w:shd w:fill="E9EEF4"/>
          </w:tcPr>
          <w:p>
            <w:pPr>
              <w:spacing w:line="252" w:lineRule="auto" w:after="20"/>
            </w:pPr>
            <w:r>
              <w:rPr>
                <w:rFonts w:ascii="Times New Roman" w:hAnsi="Times New Roman" w:cs="Times New Roman" w:eastAsia="Times New Roman"/>
                <w:b/>
                <w:sz w:val="24"/>
                <w:szCs w:val="24"/>
              </w:rPr>
              <w:t>«АрнаӨндіріс» сомасы</w:t>
            </w:r>
          </w:p>
        </w:tc>
        <w:tc>
          <w:tcPr>
            <w:tcW w:type="dxa" w:w="3219"/>
            <w:vAlign w:val="center"/>
            <w:shd w:fill="E9EEF4"/>
          </w:tcPr>
          <w:p>
            <w:pPr>
              <w:spacing w:line="252" w:lineRule="auto" w:after="20"/>
            </w:pPr>
            <w:r>
              <w:rPr>
                <w:rFonts w:ascii="Times New Roman" w:hAnsi="Times New Roman" w:cs="Times New Roman" w:eastAsia="Times New Roman"/>
                <w:b/>
                <w:sz w:val="24"/>
                <w:szCs w:val="24"/>
              </w:rPr>
              <w:t>Салыстырылатын міндеттеме</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Ақша</w:t>
            </w:r>
          </w:p>
        </w:tc>
        <w:tc>
          <w:tcPr>
            <w:tcW w:type="dxa" w:w="3219"/>
            <w:vAlign w:val="center"/>
          </w:tcPr>
          <w:p>
            <w:pPr>
              <w:spacing w:line="252" w:lineRule="auto" w:after="20"/>
              <w:jc w:val="center"/>
            </w:pPr>
            <w:r>
              <w:rPr>
                <w:rFonts w:ascii="Times New Roman" w:hAnsi="Times New Roman" w:cs="Times New Roman" w:eastAsia="Times New Roman"/>
                <w:sz w:val="24"/>
                <w:szCs w:val="24"/>
              </w:rPr>
              <w:t>240</w:t>
            </w:r>
          </w:p>
        </w:tc>
        <w:tc>
          <w:tcPr>
            <w:tcW w:type="dxa" w:w="3219"/>
            <w:vAlign w:val="center"/>
          </w:tcPr>
          <w:p>
            <w:pPr>
              <w:spacing w:line="252" w:lineRule="auto" w:after="20"/>
            </w:pPr>
            <w:r>
              <w:rPr>
                <w:rFonts w:ascii="Times New Roman" w:hAnsi="Times New Roman" w:cs="Times New Roman" w:eastAsia="Times New Roman"/>
                <w:sz w:val="24"/>
                <w:szCs w:val="24"/>
              </w:rPr>
              <w:t>Жеткізуші берешегі 300</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Дебиторлық берешек</w:t>
            </w:r>
          </w:p>
        </w:tc>
        <w:tc>
          <w:tcPr>
            <w:tcW w:type="dxa" w:w="3219"/>
            <w:vAlign w:val="center"/>
          </w:tcPr>
          <w:p>
            <w:pPr>
              <w:spacing w:line="252" w:lineRule="auto" w:after="20"/>
              <w:jc w:val="center"/>
            </w:pPr>
            <w:r>
              <w:rPr>
                <w:rFonts w:ascii="Times New Roman" w:hAnsi="Times New Roman" w:cs="Times New Roman" w:eastAsia="Times New Roman"/>
                <w:sz w:val="24"/>
                <w:szCs w:val="24"/>
              </w:rPr>
              <w:t>400</w:t>
            </w:r>
          </w:p>
        </w:tc>
        <w:tc>
          <w:tcPr>
            <w:tcW w:type="dxa" w:w="3219"/>
            <w:vAlign w:val="center"/>
          </w:tcPr>
          <w:p>
            <w:pPr>
              <w:spacing w:line="252" w:lineRule="auto" w:after="20"/>
              <w:jc w:val="center"/>
            </w:pPr>
            <w:r>
              <w:rPr>
                <w:rFonts w:ascii="Times New Roman" w:hAnsi="Times New Roman" w:cs="Times New Roman" w:eastAsia="Times New Roman"/>
                <w:sz w:val="24"/>
                <w:szCs w:val="24"/>
              </w:rPr>
              <w:t>Қысқа несие 200</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Қор</w:t>
            </w:r>
          </w:p>
        </w:tc>
        <w:tc>
          <w:tcPr>
            <w:tcW w:type="dxa" w:w="3219"/>
            <w:vAlign w:val="center"/>
          </w:tcPr>
          <w:p>
            <w:pPr>
              <w:spacing w:line="252" w:lineRule="auto" w:after="20"/>
              <w:jc w:val="center"/>
            </w:pPr>
            <w:r>
              <w:rPr>
                <w:rFonts w:ascii="Times New Roman" w:hAnsi="Times New Roman" w:cs="Times New Roman" w:eastAsia="Times New Roman"/>
                <w:sz w:val="24"/>
                <w:szCs w:val="24"/>
              </w:rPr>
              <w:t>600</w:t>
            </w:r>
          </w:p>
        </w:tc>
        <w:tc>
          <w:tcPr>
            <w:tcW w:type="dxa" w:w="3219"/>
            <w:vAlign w:val="center"/>
          </w:tcPr>
          <w:p>
            <w:pPr>
              <w:spacing w:line="252" w:lineRule="auto" w:after="20"/>
              <w:jc w:val="center"/>
            </w:pPr>
            <w:r>
              <w:rPr>
                <w:rFonts w:ascii="Times New Roman" w:hAnsi="Times New Roman" w:cs="Times New Roman" w:eastAsia="Times New Roman"/>
                <w:sz w:val="24"/>
                <w:szCs w:val="24"/>
              </w:rPr>
              <w:t>Ұзақ несие 650</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Негізгі құрал</w:t>
            </w:r>
          </w:p>
        </w:tc>
        <w:tc>
          <w:tcPr>
            <w:tcW w:type="dxa" w:w="3219"/>
            <w:vAlign w:val="center"/>
          </w:tcPr>
          <w:p>
            <w:pPr>
              <w:spacing w:line="252" w:lineRule="auto" w:after="20"/>
              <w:jc w:val="center"/>
            </w:pPr>
            <w:r>
              <w:rPr>
                <w:rFonts w:ascii="Times New Roman" w:hAnsi="Times New Roman" w:cs="Times New Roman" w:eastAsia="Times New Roman"/>
                <w:sz w:val="24"/>
                <w:szCs w:val="24"/>
              </w:rPr>
              <w:t>1 260</w:t>
            </w:r>
          </w:p>
        </w:tc>
        <w:tc>
          <w:tcPr>
            <w:tcW w:type="dxa" w:w="3219"/>
            <w:vAlign w:val="center"/>
          </w:tcPr>
          <w:p>
            <w:pPr>
              <w:spacing w:line="252" w:lineRule="auto" w:after="20"/>
              <w:jc w:val="center"/>
            </w:pPr>
            <w:r>
              <w:rPr>
                <w:rFonts w:ascii="Times New Roman" w:hAnsi="Times New Roman" w:cs="Times New Roman" w:eastAsia="Times New Roman"/>
                <w:sz w:val="24"/>
                <w:szCs w:val="24"/>
              </w:rPr>
              <w:t>Капитал 1 350</w:t>
            </w:r>
          </w:p>
        </w:tc>
      </w:tr>
    </w:tbl>
    <w:p>
      <w:pPr>
        <w:spacing w:after="80"/>
        <w:ind w:firstLine="709"/>
        <w:jc w:val="both"/>
        <w:rPr>
          <w:szCs w:val="24"/>
        </w:rPr>
      </w:pPr>
    </w:p>
    <w:p>
      <w:pPr>
        <w:spacing w:after="80"/>
        <w:ind w:firstLine="709"/>
        <w:jc w:val="both"/>
        <w:rPr>
          <w:szCs w:val="24"/>
        </w:rPr>
      </w:pPr>
      <w:r>
        <w:rPr>
          <w:rFonts w:ascii="Times New Roman" w:hAnsi="Times New Roman" w:cs="Times New Roman" w:eastAsia="Times New Roman"/>
          <w:sz w:val="24"/>
          <w:szCs w:val="24"/>
        </w:rPr>
        <w:t>Ақша мен жеткізуші берешегі арасындағы бастапқы айырма −60. Бұл барлық 300 дәл бүгін төленеді деген сөз емес: шарттағы күндер қаралады. Жалпы теңгерімге қоса мерзімдерді тексеру қажеттігі осыдан көрінеді.</w:t>
      </w:r>
    </w:p>
    <w:p>
      <w:pPr>
        <w:pStyle w:val="1"/>
        <w:spacing w:before="160"/>
        <w:ind w:firstLine="709"/>
        <w:jc w:val="both"/>
        <w:rPr>
          <w:rFonts w:ascii="Times New Roman" w:hAnsi="Times New Roman" w:cs="Times New Roman"/>
          <w:sz w:val="24"/>
          <w:szCs w:val="24"/>
        </w:rPr>
      </w:pPr>
      <w:r>
        <w:rPr>
          <w:rFonts w:ascii="Times New Roman" w:hAnsi="Times New Roman" w:cs="Times New Roman" w:eastAsia="Times New Roman"/>
          <w:sz w:val="24"/>
          <w:szCs w:val="24"/>
        </w:rPr>
        <w:t>3 Ағымдағы өтімділік</w:t>
      </w:r>
    </w:p>
    <w:p>
      <w:pPr>
        <w:spacing w:after="80"/>
        <w:ind w:firstLine="709"/>
        <w:jc w:val="both"/>
        <w:rPr>
          <w:szCs w:val="24"/>
        </w:rPr>
      </w:pPr>
      <w:r>
        <w:rPr>
          <w:rFonts w:ascii="Times New Roman" w:hAnsi="Times New Roman" w:cs="Times New Roman" w:eastAsia="Times New Roman"/>
          <w:sz w:val="24"/>
          <w:szCs w:val="24"/>
        </w:rPr>
        <w:t>Ағымдағы өтімділік қысқа мерзімді активтердің қысқа мерзімді міндеттемелерге қатынасымен есептеледі. Ол қысқа міндеттеменің әр теңгесіне қанша қысқа актив келетінін көрсетеді.</w:t>
      </w:r>
    </w:p>
    <w:p>
      <w:pPr>
        <w:spacing w:after="80"/>
        <w:ind w:firstLine="709"/>
        <w:jc w:val="both"/>
        <w:rPr>
          <w:szCs w:val="24"/>
        </w:rPr>
        <w:keepNext/>
      </w:pPr>
      <w:r>
        <w:rPr>
          <w:rFonts w:ascii="Times New Roman" w:hAnsi="Times New Roman" w:cs="Times New Roman" w:eastAsia="Times New Roman"/>
          <w:b/>
          <w:sz w:val="24"/>
          <w:szCs w:val="24"/>
        </w:rPr>
        <w:t>Ағымдағы өтімділік</w:t>
      </w:r>
    </w:p>
    <w:p>
      <w:pPr>
        <w:spacing w:after="80"/>
        <w:ind w:firstLine="709"/>
        <w:jc w:val="both"/>
        <w:rPr>
          <w:szCs w:val="24"/>
        </w:rPr>
      </w:pPr>
      <m:oMath>
        <m:f>
          <m:num>
            <m:r>
              <m:rPr>
                <m:nor/>
              </m:rPr>
              <w:rPr>
                <w:rFonts w:ascii="Times New Roman" w:hAnsi="Times New Roman"/>
                <w:sz w:val="22"/>
              </w:rPr>
              <m:t xml:space="preserve">Қысқа мерзімді активтер</m:t>
            </m:r>
          </m:num>
          <m:den>
            <m:r>
              <m:rPr>
                <m:nor/>
              </m:rPr>
              <w:rPr>
                <w:rFonts w:ascii="Times New Roman" w:hAnsi="Times New Roman"/>
                <w:sz w:val="22"/>
              </w:rPr>
              <m:t xml:space="preserve">Қысқа мерзімді міндеттемелер</m:t>
            </m:r>
          </m:den>
        </m:f>
      </m:oMath>
    </w:p>
    <w:p>
      <w:pPr>
        <w:spacing w:after="80"/>
        <w:ind w:firstLine="709"/>
        <w:jc w:val="both"/>
        <w:rPr>
          <w:szCs w:val="24"/>
        </w:rPr>
      </w:pPr>
      <m:oMath>
        <m:r>
          <m:rPr>
            <m:nor/>
          </m:rPr>
          <w:rPr>
            <w:rFonts w:ascii="Times New Roman" w:hAnsi="Times New Roman"/>
            <w:sz w:val="22"/>
          </w:rPr>
          <m:t xml:space="preserve">Ағымдағы өтімділік = 1 240 ÷ 500 = 2,48</m:t>
        </m:r>
      </m:oMath>
    </w:p>
    <w:p>
      <w:pPr>
        <w:spacing w:after="80"/>
        <w:ind w:firstLine="709"/>
        <w:jc w:val="both"/>
        <w:rPr>
          <w:szCs w:val="24"/>
        </w:rPr>
      </w:pPr>
      <w:r>
        <w:rPr>
          <w:rFonts w:ascii="Times New Roman" w:hAnsi="Times New Roman" w:cs="Times New Roman" w:eastAsia="Times New Roman"/>
          <w:sz w:val="24"/>
          <w:szCs w:val="24"/>
        </w:rPr>
        <w:t>2,48 дегеніміз қысқа міндеттеменің әр теңгесіне 2,48 теңге қысқа актив келеді деген сөз. Бұл ақшаның 2,48 есе көп екенін білдірмейді: активтің ішінде қор мен алынбаған берешек бар. Коэффициенттің өзгеруі актив пен міндеттеменің қайсысы өзгергенімен түсіндіріледі.</w:t>
      </w:r>
    </w:p>
    <w:p>
      <w:pPr>
        <w:pStyle w:val="1"/>
        <w:spacing w:before="160"/>
        <w:ind w:firstLine="709"/>
        <w:jc w:val="both"/>
        <w:rPr>
          <w:rFonts w:ascii="Times New Roman" w:hAnsi="Times New Roman" w:cs="Times New Roman"/>
          <w:sz w:val="24"/>
          <w:szCs w:val="24"/>
        </w:rPr>
      </w:pPr>
      <w:r>
        <w:rPr>
          <w:rFonts w:ascii="Times New Roman" w:hAnsi="Times New Roman" w:cs="Times New Roman" w:eastAsia="Times New Roman"/>
          <w:sz w:val="24"/>
          <w:szCs w:val="24"/>
        </w:rPr>
        <w:t>4 Жедел және абсолюттік өтімділік</w:t>
      </w:r>
    </w:p>
    <w:p>
      <w:pPr>
        <w:spacing w:after="80"/>
        <w:ind w:firstLine="709"/>
        <w:jc w:val="both"/>
        <w:rPr>
          <w:szCs w:val="24"/>
        </w:rPr>
      </w:pPr>
      <w:r>
        <w:rPr>
          <w:rFonts w:ascii="Times New Roman" w:hAnsi="Times New Roman" w:cs="Times New Roman" w:eastAsia="Times New Roman"/>
          <w:sz w:val="24"/>
          <w:szCs w:val="24"/>
        </w:rPr>
        <w:t>Жедел өтімділік баяуырақ ақшаланатын қор мен басқа тиісті баптарды алып тастап, ақша, қысқа қаржылық активтер және өндірілетін берешекке назар аударады. Мысалда мұндай қаржылық инвестициялар мен алдын ала төлемдер жоқ, сондықтан алым ақша мен дебиторлық берешектен тұрады.</w:t>
      </w:r>
    </w:p>
    <w:p>
      <w:pPr>
        <w:spacing w:after="80"/>
        <w:ind w:firstLine="709"/>
        <w:jc w:val="both"/>
        <w:rPr>
          <w:szCs w:val="24"/>
        </w:rPr>
        <w:keepNext/>
      </w:pPr>
      <w:r>
        <w:rPr>
          <w:rFonts w:ascii="Times New Roman" w:hAnsi="Times New Roman" w:cs="Times New Roman" w:eastAsia="Times New Roman"/>
          <w:b/>
          <w:sz w:val="24"/>
          <w:szCs w:val="24"/>
        </w:rPr>
        <w:t>Жедел өтімділік</w:t>
      </w:r>
    </w:p>
    <w:p>
      <w:pPr>
        <w:spacing w:after="80"/>
        <w:ind w:firstLine="709"/>
        <w:jc w:val="both"/>
        <w:rPr>
          <w:szCs w:val="24"/>
        </w:rPr>
      </w:pPr>
      <m:oMath>
        <m:f>
          <m:num>
            <m:r>
              <m:rPr>
                <m:nor/>
              </m:rPr>
              <w:rPr>
                <w:rFonts w:ascii="Times New Roman" w:hAnsi="Times New Roman"/>
                <w:sz w:val="22"/>
              </w:rPr>
              <m:t xml:space="preserve">240 + 400</m:t>
            </m:r>
          </m:num>
          <m:den>
            <m:r>
              <m:rPr>
                <m:nor/>
              </m:rPr>
              <w:rPr>
                <w:rFonts w:ascii="Times New Roman" w:hAnsi="Times New Roman"/>
                <w:sz w:val="22"/>
              </w:rPr>
              <m:t xml:space="preserve">500</m:t>
            </m:r>
          </m:den>
        </m:f>
        <m:r>
          <m:rPr>
            <m:nor/>
          </m:rPr>
          <w:rPr>
            <w:rFonts w:ascii="Times New Roman" w:hAnsi="Times New Roman"/>
            <w:sz w:val="22"/>
          </w:rPr>
          <m:t xml:space="preserve"> = 1,28</m:t>
        </m:r>
      </m:oMath>
    </w:p>
    <w:p>
      <w:pPr>
        <w:spacing w:after="80"/>
        <w:ind w:firstLine="709"/>
        <w:jc w:val="both"/>
        <w:rPr>
          <w:szCs w:val="24"/>
        </w:rPr>
        <w:keepNext/>
      </w:pPr>
      <w:r>
        <w:rPr>
          <w:rFonts w:ascii="Times New Roman" w:hAnsi="Times New Roman" w:cs="Times New Roman" w:eastAsia="Times New Roman"/>
          <w:b/>
          <w:sz w:val="24"/>
          <w:szCs w:val="24"/>
        </w:rPr>
        <w:t>Абсолюттік өтімділік</w:t>
      </w:r>
    </w:p>
    <w:p>
      <w:pPr>
        <w:spacing w:after="80"/>
        <w:ind w:firstLine="709"/>
        <w:jc w:val="both"/>
        <w:rPr>
          <w:szCs w:val="24"/>
        </w:rPr>
      </w:pPr>
      <m:oMath>
        <m:f>
          <m:num>
            <m:r>
              <m:rPr>
                <m:nor/>
              </m:rPr>
              <w:rPr>
                <w:rFonts w:ascii="Times New Roman" w:hAnsi="Times New Roman"/>
                <w:sz w:val="22"/>
              </w:rPr>
              <m:t xml:space="preserve">240</m:t>
            </m:r>
          </m:num>
          <m:den>
            <m:r>
              <m:rPr>
                <m:nor/>
              </m:rPr>
              <w:rPr>
                <w:rFonts w:ascii="Times New Roman" w:hAnsi="Times New Roman"/>
                <w:sz w:val="22"/>
              </w:rPr>
              <m:t xml:space="preserve">500</m:t>
            </m:r>
          </m:den>
        </m:f>
        <m:r>
          <m:rPr>
            <m:nor/>
          </m:rPr>
          <w:rPr>
            <w:rFonts w:ascii="Times New Roman" w:hAnsi="Times New Roman"/>
            <w:sz w:val="22"/>
          </w:rPr>
          <m:t xml:space="preserve"> = 0,48</m:t>
        </m:r>
      </m:oMath>
    </w:p>
    <w:p>
      <w:pPr>
        <w:spacing w:after="80"/>
        <w:ind w:firstLine="709"/>
        <w:jc w:val="both"/>
        <w:rPr>
          <w:szCs w:val="24"/>
        </w:rPr>
      </w:pPr>
      <w:r>
        <w:rPr>
          <w:rFonts w:ascii="Times New Roman" w:hAnsi="Times New Roman" w:cs="Times New Roman" w:eastAsia="Times New Roman"/>
          <w:sz w:val="24"/>
          <w:szCs w:val="24"/>
        </w:rPr>
        <w:t>Абсолюттік өтімділік қолда бар ақшаның қысқа міндеттемеге қатынасын көрсетеді. Талдау міндетіне байланысты қысқа жоғары өтімді қаржылық салымдарды қосу анықтамасы ашық жазылады. Бір есепте басқа анықтамамен алынған коэффициентті түсіндірмей салыстыруға болмайды.</w:t>
      </w:r>
    </w:p>
    <w:p>
      <w:pPr>
        <w:pStyle w:val="1"/>
        <w:spacing w:before="160"/>
        <w:ind w:firstLine="709"/>
        <w:jc w:val="both"/>
        <w:rPr>
          <w:rFonts w:ascii="Times New Roman" w:hAnsi="Times New Roman" w:cs="Times New Roman"/>
          <w:sz w:val="24"/>
          <w:szCs w:val="24"/>
        </w:rPr>
      </w:pPr>
      <w:r>
        <w:rPr>
          <w:rFonts w:ascii="Times New Roman" w:hAnsi="Times New Roman" w:cs="Times New Roman" w:eastAsia="Times New Roman"/>
          <w:sz w:val="24"/>
          <w:szCs w:val="24"/>
        </w:rPr>
        <w:t>5 Таза айналым капиталы</w:t>
      </w:r>
    </w:p>
    <w:p>
      <w:pPr>
        <w:spacing w:after="80"/>
        <w:ind w:firstLine="709"/>
        <w:jc w:val="both"/>
        <w:rPr>
          <w:szCs w:val="24"/>
        </w:rPr>
      </w:pPr>
      <w:r>
        <w:rPr>
          <w:rFonts w:ascii="Times New Roman" w:hAnsi="Times New Roman" w:cs="Times New Roman" w:eastAsia="Times New Roman"/>
          <w:sz w:val="24"/>
          <w:szCs w:val="24"/>
        </w:rPr>
        <w:t>Таза айналым капиталы қысқа активтер мен қысқа міндеттемелердің айырмасына тең. «АрнаӨндіріс» үшін ол 740 мың теңге. Бұл қысқа активтің бір бөлігі ұзақ мерзімді көздермен қаржыланғанын көрсетеді. Бірақ 740-тың бәрі бос ақша емес.</w:t>
      </w:r>
    </w:p>
    <w:p>
      <w:pPr>
        <w:spacing w:after="80"/>
        <w:ind w:firstLine="709"/>
        <w:jc w:val="both"/>
        <w:rPr>
          <w:szCs w:val="24"/>
        </w:rPr>
      </w:pPr>
      <m:oMath>
        <m:r>
          <m:rPr>
            <m:nor/>
          </m:rPr>
          <w:rPr>
            <w:rFonts w:ascii="Times New Roman" w:hAnsi="Times New Roman"/>
            <w:sz w:val="22"/>
          </w:rPr>
          <m:t xml:space="preserve">Таза айналым капиталы = 1 240 − 500 = 740</m:t>
        </m:r>
      </m:oMath>
    </w:p>
    <w:p>
      <w:pPr>
        <w:spacing w:after="80"/>
        <w:ind w:firstLine="709"/>
        <w:jc w:val="both"/>
        <w:rPr>
          <w:szCs w:val="24"/>
        </w:rPr>
      </w:pPr>
      <w:r>
        <w:rPr>
          <w:rFonts w:ascii="Times New Roman" w:hAnsi="Times New Roman" w:cs="Times New Roman" w:eastAsia="Times New Roman"/>
          <w:sz w:val="24"/>
          <w:szCs w:val="24"/>
        </w:rPr>
        <w:t>Операциялық айналым капиталын бөлек есептеуге болады: берешек пен қордан жеткізуші берешегін шегеру. Мысалда 400 + 600 − 300 = 700. Бұл көрсеткішке ақша мен пайыздық қарыз кірмейді, сондықтан ол таза айналым капиталымен тең болуға міндетті емес.</w:t>
      </w:r>
    </w:p>
    <w:p>
      <w:pPr>
        <w:pStyle w:val="1"/>
        <w:spacing w:before="160"/>
        <w:ind w:firstLine="709"/>
        <w:jc w:val="both"/>
        <w:rPr>
          <w:rFonts w:ascii="Times New Roman" w:hAnsi="Times New Roman" w:cs="Times New Roman"/>
          <w:sz w:val="24"/>
          <w:szCs w:val="24"/>
        </w:rPr>
      </w:pPr>
      <w:r>
        <w:rPr>
          <w:rFonts w:ascii="Times New Roman" w:hAnsi="Times New Roman" w:cs="Times New Roman" w:eastAsia="Times New Roman"/>
          <w:sz w:val="24"/>
          <w:szCs w:val="24"/>
        </w:rPr>
        <w:t>6 Нәтижені сапамен бірге бағалау</w:t>
      </w:r>
    </w:p>
    <w:p>
      <w:pPr>
        <w:spacing w:after="80"/>
        <w:ind w:firstLine="709"/>
        <w:jc w:val="both"/>
        <w:rPr>
          <w:szCs w:val="24"/>
        </w:rPr>
      </w:pPr>
      <w:r>
        <w:rPr>
          <w:rFonts w:ascii="Times New Roman" w:hAnsi="Times New Roman" w:cs="Times New Roman" w:eastAsia="Times New Roman"/>
          <w:sz w:val="24"/>
          <w:szCs w:val="24"/>
        </w:rPr>
        <w:t>Егер 400 берешектің 100-ін өндіру күмәнді болса және ол есепте әлі түзетілмесе, жедел өтімділіктің сенімділігі төмендейді. Оқу түзетуін енгізгенде қатынас 540 / 500 = 1,08-ге түседі. Сома өзгермегендей көрінген бастапқы баланстың ішінде сапа мәселесі болған.</w:t>
      </w:r>
    </w:p>
    <w:p>
      <w:pPr>
        <w:spacing w:after="80"/>
        <w:ind w:firstLine="709"/>
        <w:jc w:val="both"/>
        <w:rPr>
          <w:szCs w:val="24"/>
        </w:rPr>
      </w:pPr>
      <w:r>
        <w:rPr>
          <w:rFonts w:ascii="Times New Roman" w:hAnsi="Times New Roman" w:cs="Times New Roman" w:eastAsia="Times New Roman"/>
          <w:sz w:val="24"/>
          <w:szCs w:val="24"/>
        </w:rPr>
        <w:t>Оқулықтарда ағымдағы өтімділікке 2, жедел өтімділікке 1 секілді бағдарлар кездеседі. Бұлар барлық салаға ҚЕХС-пен белгіленген әмбебап міндетті норма емес. Сауда, өндіріс және қызмет көрсету ұйымдарының айналым үлгісі әртүрлі. Нақты бағалауда келісімшарт, сала және ақша ағыны қаралады.</w:t>
      </w:r>
    </w:p>
    <w:p>
      <w:pPr>
        <w:pStyle w:val="1"/>
        <w:spacing w:before="160"/>
        <w:ind w:firstLine="709"/>
        <w:jc w:val="both"/>
        <w:rPr>
          <w:rFonts w:ascii="Times New Roman" w:hAnsi="Times New Roman" w:cs="Times New Roman"/>
          <w:sz w:val="24"/>
          <w:szCs w:val="24"/>
        </w:rPr>
      </w:pPr>
      <w:r>
        <w:rPr>
          <w:rFonts w:ascii="Times New Roman" w:hAnsi="Times New Roman" w:cs="Times New Roman" w:eastAsia="Times New Roman"/>
          <w:sz w:val="24"/>
          <w:szCs w:val="24"/>
        </w:rPr>
        <w:t>7 Төлем қабілеттілігін күнтізбемен тексеру</w:t>
      </w:r>
    </w:p>
    <w:p>
      <w:pPr>
        <w:spacing w:after="80"/>
        <w:ind w:firstLine="709"/>
        <w:jc w:val="both"/>
        <w:rPr>
          <w:szCs w:val="24"/>
        </w:rPr>
      </w:pPr>
      <w:r>
        <w:rPr>
          <w:rFonts w:ascii="Times New Roman" w:hAnsi="Times New Roman" w:cs="Times New Roman" w:eastAsia="Times New Roman"/>
          <w:sz w:val="24"/>
          <w:szCs w:val="24"/>
        </w:rPr>
        <w:t>Келесі аптада төленетін сома 300, қолда бар ақша 240, расталған түсім 100 болса, 40 артық ақша қалады. Түсім кешіксе, 60 тапшылық пайда болады. Сол себепті жоғары баланстық өтімділік күн сайынғы төлемді автоматты түрде қамтамасыз етпейді.</w:t>
      </w:r>
    </w:p>
    <w:p>
      <w:pPr>
        <w:spacing w:after="80"/>
        <w:ind w:firstLine="709"/>
        <w:jc w:val="both"/>
        <w:rPr>
          <w:szCs w:val="24"/>
        </w:rPr>
      </w:pPr>
      <w:r>
        <w:rPr>
          <w:rFonts w:ascii="Times New Roman" w:hAnsi="Times New Roman" w:cs="Times New Roman" w:eastAsia="Times New Roman"/>
          <w:sz w:val="24"/>
          <w:szCs w:val="24"/>
        </w:rPr>
        <w:t>Төлем қабілеттілігін қалпына келтірудің шынайы дәлелі — түсім, міндетті төлем, қолжетімді қаржыландыру және олардың мерзімдері көрсетілген негізделген жоспар. Коэффициентті есепті күн алдында уақытша жақсарту тұрақты шешім болмайды.</w:t>
      </w:r>
    </w:p>
    <w:p>
      <w:pPr>
        <w:pStyle w:val="1"/>
        <w:spacing w:before="160"/>
        <w:ind w:firstLine="709"/>
        <w:jc w:val="both"/>
        <w:rPr>
          <w:rFonts w:ascii="Times New Roman" w:hAnsi="Times New Roman" w:cs="Times New Roman"/>
          <w:sz w:val="24"/>
          <w:szCs w:val="24"/>
        </w:rPr>
      </w:pPr>
      <w:r>
        <w:rPr>
          <w:rFonts w:ascii="Times New Roman" w:hAnsi="Times New Roman" w:cs="Times New Roman" w:eastAsia="Times New Roman"/>
          <w:sz w:val="24"/>
          <w:szCs w:val="24"/>
        </w:rPr>
        <w:t>Жиі кездесетін қателер</w:t>
      </w:r>
    </w:p>
    <w:p>
      <w:pPr>
        <w:pStyle w:val="a0"/>
        <w:tabs>
          <w:tab w:val="left" w:pos="1134"/>
        </w:tabs>
        <w:ind w:firstLine="491"/>
        <w:jc w:val="both"/>
        <w:rPr>
          <w:szCs w:val="24"/>
        </w:rPr>
      </w:pPr>
      <w:r>
        <w:rPr>
          <w:rFonts w:ascii="Times New Roman" w:hAnsi="Times New Roman" w:cs="Times New Roman" w:eastAsia="Times New Roman"/>
          <w:sz w:val="24"/>
          <w:szCs w:val="24"/>
        </w:rPr>
        <w:t>Өтімді актив пен қолма-қол ақшаны теңестіру.</w:t>
      </w:r>
    </w:p>
    <w:p>
      <w:pPr>
        <w:pStyle w:val="a0"/>
        <w:tabs>
          <w:tab w:val="left" w:pos="1134"/>
        </w:tabs>
        <w:ind w:firstLine="491"/>
        <w:jc w:val="both"/>
        <w:rPr>
          <w:szCs w:val="24"/>
        </w:rPr>
      </w:pPr>
      <w:r>
        <w:rPr>
          <w:rFonts w:ascii="Times New Roman" w:hAnsi="Times New Roman" w:cs="Times New Roman" w:eastAsia="Times New Roman"/>
          <w:sz w:val="24"/>
          <w:szCs w:val="24"/>
        </w:rPr>
        <w:t>Барлық берешекті толық өндірілетін деп қабылдау.</w:t>
      </w:r>
    </w:p>
    <w:p>
      <w:pPr>
        <w:pStyle w:val="a0"/>
        <w:tabs>
          <w:tab w:val="left" w:pos="1134"/>
        </w:tabs>
        <w:ind w:firstLine="491"/>
        <w:jc w:val="both"/>
        <w:rPr>
          <w:szCs w:val="24"/>
        </w:rPr>
      </w:pPr>
      <w:r>
        <w:rPr>
          <w:rFonts w:ascii="Times New Roman" w:hAnsi="Times New Roman" w:cs="Times New Roman" w:eastAsia="Times New Roman"/>
          <w:sz w:val="24"/>
          <w:szCs w:val="24"/>
        </w:rPr>
        <w:t>Оқулық шегін міндетті заңдық норма ретінде көрсету.</w:t>
      </w:r>
    </w:p>
    <w:p>
      <w:pPr>
        <w:pStyle w:val="a0"/>
        <w:tabs>
          <w:tab w:val="left" w:pos="1134"/>
        </w:tabs>
        <w:ind w:firstLine="491"/>
        <w:jc w:val="both"/>
        <w:rPr>
          <w:szCs w:val="24"/>
        </w:rPr>
      </w:pPr>
      <w:r>
        <w:rPr>
          <w:rFonts w:ascii="Times New Roman" w:hAnsi="Times New Roman" w:cs="Times New Roman" w:eastAsia="Times New Roman"/>
          <w:sz w:val="24"/>
          <w:szCs w:val="24"/>
        </w:rPr>
        <w:t>Төлем күндерін тексермеу.</w:t>
      </w:r>
    </w:p>
    <w:p>
      <w:pPr>
        <w:pStyle w:val="1"/>
        <w:spacing w:before="160"/>
        <w:ind w:firstLine="709"/>
        <w:jc w:val="both"/>
        <w:rPr>
          <w:rFonts w:ascii="Times New Roman" w:hAnsi="Times New Roman" w:cs="Times New Roman"/>
          <w:sz w:val="24"/>
          <w:szCs w:val="24"/>
        </w:rPr>
      </w:pPr>
      <w:r>
        <w:rPr>
          <w:rFonts w:ascii="Times New Roman" w:hAnsi="Times New Roman" w:cs="Times New Roman" w:eastAsia="Times New Roman"/>
          <w:sz w:val="24"/>
          <w:szCs w:val="24"/>
        </w:rPr>
        <w:t>Бақылау сұрақтары</w:t>
      </w:r>
    </w:p>
    <w:p>
      <w:pPr>
        <w:spacing w:after="80"/>
        <w:ind w:left="170" w:firstLine="709"/>
        <w:jc w:val="both"/>
        <w:rPr>
          <w:szCs w:val="24"/>
        </w:rPr>
      </w:pPr>
      <w:r>
        <w:rPr>
          <w:rFonts w:ascii="Times New Roman" w:hAnsi="Times New Roman" w:cs="Times New Roman" w:eastAsia="Times New Roman"/>
          <w:sz w:val="24"/>
          <w:szCs w:val="24"/>
        </w:rPr>
        <w:t>1. Өтімділік пен төлем қабілеттілігінің айырмасы қандай?</w:t>
      </w:r>
    </w:p>
    <w:p>
      <w:pPr>
        <w:spacing w:after="80"/>
        <w:ind w:left="170" w:firstLine="709"/>
        <w:jc w:val="both"/>
        <w:rPr>
          <w:szCs w:val="24"/>
        </w:rPr>
      </w:pPr>
      <w:r>
        <w:rPr>
          <w:rFonts w:ascii="Times New Roman" w:hAnsi="Times New Roman" w:cs="Times New Roman" w:eastAsia="Times New Roman"/>
          <w:sz w:val="24"/>
          <w:szCs w:val="24"/>
        </w:rPr>
        <w:t>2. Неге жедел өтімділік қорды алып тастайды?</w:t>
      </w:r>
    </w:p>
    <w:p>
      <w:pPr>
        <w:spacing w:after="80"/>
        <w:ind w:left="170" w:firstLine="709"/>
        <w:jc w:val="both"/>
        <w:rPr>
          <w:szCs w:val="24"/>
        </w:rPr>
      </w:pPr>
      <w:r>
        <w:rPr>
          <w:rFonts w:ascii="Times New Roman" w:hAnsi="Times New Roman" w:cs="Times New Roman" w:eastAsia="Times New Roman"/>
          <w:sz w:val="24"/>
          <w:szCs w:val="24"/>
        </w:rPr>
        <w:t>3. 740 таза айналым капиталы неліктен бос ақша емес?</w:t>
      </w:r>
    </w:p>
    <w:p>
      <w:pPr>
        <w:spacing w:after="80"/>
        <w:ind w:left="170" w:firstLine="709"/>
        <w:jc w:val="both"/>
        <w:rPr>
          <w:szCs w:val="24"/>
        </w:rPr>
      </w:pPr>
      <w:r>
        <w:rPr>
          <w:rFonts w:ascii="Times New Roman" w:hAnsi="Times New Roman" w:cs="Times New Roman" w:eastAsia="Times New Roman"/>
          <w:sz w:val="24"/>
          <w:szCs w:val="24"/>
        </w:rPr>
        <w:t>4. Өтімділіктің жоғары болуы қандай тиімсіздікті жасыруы мүмкін?</w:t>
      </w:r>
    </w:p>
    <w:p>
      <w:pPr>
        <w:spacing w:after="80"/>
        <w:ind w:left="170" w:firstLine="709"/>
        <w:jc w:val="both"/>
        <w:rPr>
          <w:szCs w:val="24"/>
        </w:rPr>
      </w:pPr>
      <w:r>
        <w:rPr>
          <w:rFonts w:ascii="Times New Roman" w:hAnsi="Times New Roman" w:cs="Times New Roman" w:eastAsia="Times New Roman"/>
          <w:sz w:val="24"/>
          <w:szCs w:val="24"/>
        </w:rPr>
        <w:t>5. Төлем күнтізбесі балансты қалай толықтырады?</w:t>
      </w:r>
    </w:p>
    <w:p>
      <w:pPr>
        <w:pStyle w:val="1"/>
        <w:spacing w:before="160"/>
        <w:ind w:firstLine="709"/>
        <w:jc w:val="both"/>
        <w:rPr>
          <w:rFonts w:ascii="Times New Roman" w:hAnsi="Times New Roman" w:cs="Times New Roman"/>
          <w:sz w:val="24"/>
          <w:szCs w:val="24"/>
        </w:rPr>
      </w:pPr>
      <w:r>
        <w:rPr>
          <w:rFonts w:ascii="Times New Roman" w:hAnsi="Times New Roman" w:cs="Times New Roman" w:eastAsia="Times New Roman"/>
          <w:sz w:val="24"/>
          <w:szCs w:val="24"/>
        </w:rPr>
        <w:t>Өзіңізді тексеріңіз</w:t>
      </w:r>
    </w:p>
    <w:p>
      <w:pPr>
        <w:spacing w:after="80"/>
        <w:ind w:firstLine="709"/>
        <w:jc w:val="both"/>
        <w:rPr>
          <w:szCs w:val="24"/>
        </w:rPr>
      </w:pPr>
      <w:r>
        <w:rPr>
          <w:rFonts w:ascii="Times New Roman" w:hAnsi="Times New Roman" w:cs="Times New Roman" w:eastAsia="Times New Roman"/>
          <w:sz w:val="24"/>
          <w:szCs w:val="24"/>
        </w:rPr>
        <w:t>Ақша 80, берешек 120, қор 200, қысқа міндеттеме 250. Ағымдағы өтімділік 1,60; жедел өтімділік 0,80; абсолюттік өтімділік 0,32; таза айналым капиталы 150. Әр нәтиже актив сапасы мен төлем мерзімімен бірге бағаланады.</w:t>
      </w:r>
    </w:p>
    <w:p>
      <w:pPr>
        <w:pStyle w:val="1"/>
        <w:spacing w:before="160"/>
        <w:ind w:firstLine="709"/>
        <w:jc w:val="both"/>
        <w:rPr>
          <w:rFonts w:ascii="Times New Roman" w:hAnsi="Times New Roman" w:cs="Times New Roman"/>
          <w:sz w:val="24"/>
          <w:szCs w:val="24"/>
        </w:rPr>
      </w:pPr>
      <w:r>
        <w:rPr>
          <w:rFonts w:ascii="Times New Roman" w:hAnsi="Times New Roman" w:cs="Times New Roman" w:eastAsia="Times New Roman"/>
          <w:sz w:val="24"/>
          <w:szCs w:val="24"/>
        </w:rPr>
        <w:t>Тақырып бойынша ұсынылатын әдебиеттер</w:t>
      </w:r>
    </w:p>
    <w:p>
      <w:pPr>
        <w:spacing w:after="0" w:line="240" w:lineRule="auto"/>
        <w:ind w:firstLine="709"/>
        <w:jc w:val="both"/>
        <w:rPr>
          <w:szCs w:val="24"/>
        </w:rPr>
      </w:pPr>
      <w:r>
        <w:rPr>
          <w:rFonts w:ascii="Times New Roman" w:hAnsi="Times New Roman" w:cs="Times New Roman" w:eastAsia="Times New Roman"/>
          <w:sz w:val="24"/>
          <w:szCs w:val="24"/>
        </w:rPr>
        <w:t xml:space="preserve">[Ә1] Кириченко, Д. А. Финансовый анализ : учебное пособие / Д. А. Кириченко, Н. Е. Симионова. — Москва : Ай Пи Ар Медиа, 2022. — 103 c. — ISBN 978-5-4497-1740-5. — Текст : электронный // Цифровой образовательный ресурс IPR SMART : [сайт]. </w:t>
      </w:r>
      <w:hyperlink r:id="rId8">
        <w:r>
          <w:rPr>
            <w:rFonts w:ascii="Times New Roman" w:hAnsi="Times New Roman" w:cs="Times New Roman" w:eastAsia="Times New Roman"/>
            <w:u w:val="single"/>
            <w:color w:val="000000"/>
            <w:sz w:val="24"/>
            <w:szCs w:val="24"/>
          </w:rPr>
          <w:t>Электрондық каталог</w:t>
        </w:r>
      </w:hyperlink>
    </w:p>
    <w:p>
      <w:pPr>
        <w:spacing w:after="0" w:line="240" w:lineRule="auto"/>
        <w:ind w:firstLine="709"/>
        <w:jc w:val="both"/>
        <w:rPr>
          <w:szCs w:val="24"/>
        </w:rPr>
      </w:pPr>
      <w:r>
        <w:rPr>
          <w:rFonts w:ascii="Times New Roman" w:hAnsi="Times New Roman" w:cs="Times New Roman" w:eastAsia="Times New Roman"/>
          <w:sz w:val="24"/>
          <w:szCs w:val="24"/>
        </w:rPr>
        <w:t xml:space="preserve">[Ә4] Илышева, Н. Н. Анализ финансовой отчетности : учебное пособие для студентов вузов, обучающихся по специальности «Бухгалтерский учет, анализ и аудит», «Финансы и кредит» / Н. Н. Илышева, С. И. Крылов. — Москва : ЮНИТИ-ДАНА, 2023. — 240 c. — ISBN 978-5-238-01253-7. — Текст : электронный // Цифровой образовательный ресурс IPR SMART : [сайт]. </w:t>
      </w:r>
      <w:hyperlink r:id="rId14">
        <w:r>
          <w:rPr>
            <w:rFonts w:ascii="Times New Roman" w:hAnsi="Times New Roman" w:cs="Times New Roman" w:eastAsia="Times New Roman"/>
            <w:u w:val="single"/>
            <w:color w:val="000000"/>
            <w:sz w:val="24"/>
            <w:szCs w:val="24"/>
          </w:rPr>
          <w:t>Электрондық каталог</w:t>
        </w:r>
      </w:hyperlink>
    </w:p>
    <w:p>
      <w:pPr>
        <w:spacing w:after="0" w:line="240" w:lineRule="auto"/>
        <w:ind w:firstLine="709"/>
        <w:jc w:val="both"/>
        <w:rPr>
          <w:szCs w:val="24"/>
        </w:rPr>
      </w:pPr>
      <w:r>
        <w:rPr>
          <w:rFonts w:ascii="Times New Roman" w:hAnsi="Times New Roman" w:cs="Times New Roman" w:eastAsia="Times New Roman"/>
          <w:sz w:val="24"/>
          <w:szCs w:val="24"/>
        </w:rPr>
        <w:t xml:space="preserve">[Ә5] Селезнева, Н. Н. Анализ финансовой отчетности организации : учебное пособие для студентов вузов по специальности «Бухгалтерский учет, анализ и аудит», слушателей курсов по подготовке и переподготовке бухгалтеров и аудиторов / Н. Н. Селезнева, А. Ф. Ионова. — 3-е изд. — Москва : ЮНИТИ-ДАНА, 2023. — 583 c. — ISBN 978-5-238-01178-3. — Текст : электронный // Цифровой образовательный ресурс IPR SMART : [сайт]. </w:t>
      </w:r>
      <w:hyperlink r:id="rId15">
        <w:r>
          <w:rPr>
            <w:rFonts w:ascii="Times New Roman" w:hAnsi="Times New Roman" w:cs="Times New Roman" w:eastAsia="Times New Roman"/>
            <w:u w:val="single"/>
            <w:color w:val="000000"/>
            <w:sz w:val="24"/>
            <w:szCs w:val="24"/>
          </w:rPr>
          <w:t>Электрондық каталог</w:t>
        </w:r>
      </w:hyperlink>
    </w:p>
    <w:p>
      <w:pPr>
        <w:spacing w:after="0" w:line="240" w:lineRule="auto"/>
        <w:ind w:firstLine="709"/>
        <w:jc w:val="both"/>
        <w:rPr>
          <w:szCs w:val="24"/>
        </w:rPr>
      </w:pPr>
      <w:r>
        <w:rPr>
          <w:rFonts w:ascii="Times New Roman" w:hAnsi="Times New Roman" w:cs="Times New Roman" w:eastAsia="Times New Roman"/>
          <w:sz w:val="24"/>
          <w:szCs w:val="24"/>
        </w:rPr>
        <w:t>[Ә13] Савицкая Г.В. Анализ хозяйственной деятельности предприятия. - М.: Инфра-М, 2010. - 536 с.</w:t>
      </w:r>
    </w:p>
    <w:p>
      <w:pPr>
        <w:spacing w:after="0" w:line="240" w:lineRule="auto"/>
        <w:ind w:firstLine="709"/>
        <w:jc w:val="both"/>
        <w:rPr>
          <w:szCs w:val="24"/>
        </w:rPr>
      </w:pPr>
      <w:r>
        <w:rPr>
          <w:rFonts w:ascii="Times New Roman" w:hAnsi="Times New Roman" w:cs="Times New Roman" w:eastAsia="Times New Roman"/>
          <w:sz w:val="24"/>
          <w:szCs w:val="24"/>
        </w:rPr>
        <w:t>[Ә16] Дюсембаев К.Ш. Аудит и анализ в системе управления финансами.- Алматы: Экономика, 2009. - 366 с.</w:t>
      </w:r>
    </w:p>
    <w:sectPr w:rsidR="008832B7" w:rsidRPr="00285FFA" w:rsidSect="00034616">
      <w:footerReference w:type="default" r:id="rId11"/>
      <w:pgSz w:w="11906" w:h="16838"/>
      <w:pgMar w:top="1134" w:right="1134" w:bottom="1134" w:left="1304" w:header="454"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28C0" w:rsidRDefault="006828C0">
      <w:pPr>
        <w:spacing w:after="0" w:line="240" w:lineRule="auto"/>
      </w:pPr>
      <w:r>
        <w:separator/>
      </w:r>
    </w:p>
  </w:endnote>
  <w:endnote w:type="continuationSeparator" w:id="0">
    <w:p w:rsidR="006828C0" w:rsidRDefault="006828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2B7" w:rsidRDefault="006828C0">
    <w:pPr>
      <w:pStyle w:val="a7"/>
      <w:jc w:val="right"/>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28C0" w:rsidRDefault="006828C0">
      <w:pPr>
        <w:spacing w:after="0" w:line="240" w:lineRule="auto"/>
      </w:pPr>
      <w:r>
        <w:separator/>
      </w:r>
    </w:p>
  </w:footnote>
  <w:footnote w:type="continuationSeparator" w:id="0">
    <w:p w:rsidR="006828C0" w:rsidRDefault="006828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83B0E"/>
    <w:rsid w:val="000A5FE7"/>
    <w:rsid w:val="0015074B"/>
    <w:rsid w:val="00226DD7"/>
    <w:rsid w:val="00285FFA"/>
    <w:rsid w:val="0029639D"/>
    <w:rsid w:val="00326F90"/>
    <w:rsid w:val="006828C0"/>
    <w:rsid w:val="008832B7"/>
    <w:rsid w:val="00AA1D8D"/>
    <w:rsid w:val="00B47730"/>
    <w:rsid w:val="00B93A4F"/>
    <w:rsid w:val="00CB0664"/>
    <w:rsid w:val="00E111E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9CD36D"/>
  <w14:defaultImageDpi w14:val="300"/>
  <w15:docId w15:val="{993F3D0F-53E7-432A-AA21-12E8BE20E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100" w:line="264" w:lineRule="auto"/>
    </w:pPr>
    <w:rPr>
      <w:rFonts w:ascii="Times New Roman" w:eastAsia="Times New Roman" w:hAnsi="Times New Roman" w:cs="Times New Roman"/>
      <w:color w:val="000000"/>
      <w:sz w:val="24"/>
      <w:lang w:val="kk-KZ"/>
    </w:rPr>
  </w:style>
  <w:style w:type="paragraph" w:styleId="1">
    <w:name w:val="heading 1"/>
    <w:basedOn w:val="a1"/>
    <w:next w:val="a1"/>
    <w:link w:val="10"/>
    <w:uiPriority w:val="9"/>
    <w:qFormat/>
    <w:rsid w:val="00FC693F"/>
    <w:pPr>
      <w:keepNext/>
      <w:keepLines/>
      <w:spacing w:before="200"/>
      <w:outlineLvl w:val="0"/>
    </w:pPr>
    <w:rPr>
      <w:rFonts w:asciiTheme="majorHAnsi" w:eastAsiaTheme="majorEastAsia" w:hAnsiTheme="majorHAnsi" w:cstheme="majorBidi"/>
      <w:b/>
      <w:bCs/>
      <w:sz w:val="26"/>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200" w:line="240" w:lineRule="auto"/>
      <w:contextualSpacing/>
    </w:pPr>
    <w:rPr>
      <w:rFonts w:asciiTheme="majorHAnsi" w:eastAsiaTheme="majorEastAsia" w:hAnsiTheme="majorHAnsi" w:cstheme="majorBidi"/>
      <w:b/>
      <w:spacing w:val="5"/>
      <w:kern w:val="28"/>
      <w:sz w:val="34"/>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spacing w:val="15"/>
      <w:sz w:val="22"/>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spacing w:after="60"/>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spacing w:after="60"/>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prbookshop.ru/123545.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adilet.zan.kz/kaz/docs/Z070000234_" TargetMode="External"/><Relationship Id="rId4" Type="http://schemas.openxmlformats.org/officeDocument/2006/relationships/settings" Target="settings.xml"/><Relationship Id="rId9" Type="http://schemas.openxmlformats.org/officeDocument/2006/relationships/hyperlink" Target="https://www.ifrs.org/issued-standards/list-of-standards/conceptual-framework/" TargetMode="External"/><Relationship Id="rId14" Type="http://schemas.openxmlformats.org/officeDocument/2006/relationships/hyperlink" Target="https://www.iprbookshop.ru/142666.html" TargetMode="External"/><Relationship Id="rId15" Type="http://schemas.openxmlformats.org/officeDocument/2006/relationships/hyperlink" Target="https://www.iprbookshop.ru/14266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D40BCA-429B-43FA-8F9E-8A8797148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983</Words>
  <Characters>5608</Characters>
  <Application>Microsoft Office Word</Application>
  <DocSecurity>0</DocSecurity>
  <Lines>46</Lines>
  <Paragraphs>13</Paragraphs>
  <ScaleCrop>false</ScaleCrop>
  <HeadingPairs>
    <vt:vector size="6" baseType="variant">
      <vt:variant>
        <vt:lpstr>Название</vt:lpstr>
      </vt:variant>
      <vt:variant>
        <vt:i4>1</vt:i4>
      </vt:variant>
      <vt:variant>
        <vt:lpstr>Заголовки</vt:lpstr>
      </vt:variant>
      <vt:variant>
        <vt:i4>10</vt:i4>
      </vt:variant>
      <vt:variant>
        <vt:lpstr>Title</vt:lpstr>
      </vt:variant>
      <vt:variant>
        <vt:i4>1</vt:i4>
      </vt:variant>
    </vt:vector>
  </HeadingPairs>
  <TitlesOfParts>
    <vt:vector size="12" baseType="lpstr">
      <vt:lpstr>1 дәріс Қаржылық есептіліктің тұжырымдамалық және нормативтік негіздері</vt:lpstr>
      <vt:lpstr>1 Қаржылық есептілік қандай сұрақтарға жауап береді</vt:lpstr>
      <vt:lpstr>2 Есептіліктің бес элементі</vt:lpstr>
      <vt:lpstr>3 Пайдалы ақпараттың сапасы</vt:lpstr>
      <vt:lpstr>4 Тану, бағалау және Қазақстандағы реттеу</vt:lpstr>
      <vt:lpstr>5 Операцияны түсіндіретін мысал</vt:lpstr>
      <vt:lpstr>Жиі кездесетін қателер</vt:lpstr>
      <vt:lpstr>Бақылау сұрақтары</vt:lpstr>
      <vt:lpstr>Өзіңізді тексеріңіз</vt:lpstr>
      <vt:lpstr>Тақырып бойынша ұсынылатын әдебиеттер</vt:lpstr>
      <vt:lpstr>Ресми және бастапқы дереккөздер</vt:lpstr>
      <vt:lpstr/>
    </vt:vector>
  </TitlesOfParts>
  <Manager/>
  <Company/>
  <LinksUpToDate>false</LinksUpToDate>
  <CharactersWithSpaces>6578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Баланстың өтімділігі және кәсіпорынның төлем қабілеттілігі</dc:title>
  <dc:subject>Қаржылық есептілікті жасау және талдау</dc:subject>
  <dc:creator>Гульжан Байтикенова</dc:creator>
  <cp:keywords/>
  <dc:description>generated by python-docx</dc:description>
  <cp:lastModifiedBy>Гульжан Байтикенова</cp:lastModifiedBy>
  <cp:revision>3</cp:revision>
  <dcterms:created xsi:type="dcterms:W3CDTF">2026-10-21T06:13:00Z</dcterms:created>
  <dcterms:modified xsi:type="dcterms:W3CDTF">2026-10-21T06:15:00Z</dcterms:modified>
  <cp:category/>
</cp:coreProperties>
</file>